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709A7" w14:textId="77777777" w:rsidR="005B3DC8" w:rsidRPr="00F4350A" w:rsidRDefault="005B3DC8" w:rsidP="00510227">
      <w:pPr>
        <w:rPr>
          <w:rFonts w:ascii="Times New Roman" w:hAnsi="Times New Roman" w:cs="Times New Roman"/>
          <w:b/>
          <w:bCs/>
          <w:sz w:val="28"/>
        </w:rPr>
      </w:pPr>
    </w:p>
    <w:p w14:paraId="42592A1C" w14:textId="76A82BD8" w:rsidR="00E4683D" w:rsidRPr="00F4350A" w:rsidRDefault="00E4683D" w:rsidP="00F4350A">
      <w:pPr>
        <w:spacing w:beforeLines="100" w:before="360" w:afterLines="50" w:after="1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1B15008" w14:textId="77777777" w:rsidR="00E4683D" w:rsidRPr="00F4350A" w:rsidRDefault="00E4683D" w:rsidP="00E4683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A583745" w14:textId="77777777" w:rsidR="00E4683D" w:rsidRPr="00F4350A" w:rsidRDefault="00E4683D" w:rsidP="00E4683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4350A">
        <w:rPr>
          <w:rFonts w:ascii="Times New Roman" w:hAnsi="Times New Roman" w:cs="Times New Roman"/>
          <w:b/>
          <w:bCs/>
          <w:sz w:val="52"/>
          <w:szCs w:val="52"/>
        </w:rPr>
        <w:t>海洋委員會海洋保育署</w:t>
      </w:r>
    </w:p>
    <w:p w14:paraId="654D2F5A" w14:textId="77777777" w:rsidR="00E4683D" w:rsidRPr="00F4350A" w:rsidRDefault="00E4683D" w:rsidP="00E4683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D1E6F01" w14:textId="77777777" w:rsidR="00E4683D" w:rsidRPr="00F4350A" w:rsidRDefault="00E4683D" w:rsidP="00E4683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39554FF" w14:textId="77777777" w:rsidR="00E4683D" w:rsidRPr="00F4350A" w:rsidRDefault="00E4683D" w:rsidP="00E4683D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F4350A">
        <w:rPr>
          <w:rFonts w:ascii="Times New Roman" w:hAnsi="Times New Roman" w:cs="Times New Roman"/>
          <w:sz w:val="52"/>
          <w:szCs w:val="52"/>
        </w:rPr>
        <w:t>112</w:t>
      </w:r>
      <w:proofErr w:type="gramEnd"/>
      <w:r w:rsidRPr="00F4350A">
        <w:rPr>
          <w:rFonts w:ascii="Times New Roman" w:hAnsi="Times New Roman" w:cs="Times New Roman"/>
          <w:sz w:val="52"/>
          <w:szCs w:val="52"/>
        </w:rPr>
        <w:t>年度</w:t>
      </w:r>
    </w:p>
    <w:p w14:paraId="42EAC075" w14:textId="77777777" w:rsidR="00E4683D" w:rsidRPr="00F4350A" w:rsidRDefault="00E4683D" w:rsidP="00E4683D">
      <w:pPr>
        <w:jc w:val="center"/>
        <w:rPr>
          <w:rFonts w:ascii="Times New Roman" w:hAnsi="Times New Roman" w:cs="Times New Roman"/>
          <w:sz w:val="52"/>
          <w:szCs w:val="52"/>
        </w:rPr>
      </w:pPr>
      <w:r w:rsidRPr="00F4350A">
        <w:rPr>
          <w:rFonts w:ascii="Times New Roman" w:hAnsi="Times New Roman" w:cs="Times New Roman"/>
          <w:sz w:val="52"/>
          <w:szCs w:val="52"/>
        </w:rPr>
        <w:t>法國海洋油及海運化學品污染</w:t>
      </w:r>
    </w:p>
    <w:p w14:paraId="42E6323A" w14:textId="77777777" w:rsidR="00E4683D" w:rsidRPr="00F4350A" w:rsidRDefault="00E4683D" w:rsidP="00E4683D">
      <w:pPr>
        <w:jc w:val="center"/>
        <w:rPr>
          <w:rFonts w:ascii="Times New Roman" w:hAnsi="Times New Roman" w:cs="Times New Roman"/>
          <w:sz w:val="52"/>
          <w:szCs w:val="52"/>
        </w:rPr>
      </w:pPr>
      <w:r w:rsidRPr="00F4350A">
        <w:rPr>
          <w:rFonts w:ascii="Times New Roman" w:hAnsi="Times New Roman" w:cs="Times New Roman"/>
          <w:sz w:val="52"/>
          <w:szCs w:val="52"/>
        </w:rPr>
        <w:t>應變人力養成國外研習訓練</w:t>
      </w:r>
    </w:p>
    <w:p w14:paraId="1421C03A" w14:textId="738254D1" w:rsidR="00E4683D" w:rsidRPr="00F4350A" w:rsidRDefault="00E4683D" w:rsidP="002460C7">
      <w:pPr>
        <w:jc w:val="center"/>
        <w:rPr>
          <w:rFonts w:ascii="Times New Roman" w:hAnsi="Times New Roman" w:cs="Times New Roman"/>
          <w:sz w:val="52"/>
          <w:szCs w:val="52"/>
        </w:rPr>
      </w:pPr>
      <w:r w:rsidRPr="00F4350A">
        <w:rPr>
          <w:rFonts w:ascii="Times New Roman" w:hAnsi="Times New Roman" w:cs="Times New Roman"/>
          <w:sz w:val="52"/>
          <w:szCs w:val="52"/>
        </w:rPr>
        <w:t>結訓心得</w:t>
      </w:r>
      <w:r w:rsidR="00BE483B">
        <w:rPr>
          <w:rFonts w:ascii="Times New Roman" w:hAnsi="Times New Roman" w:cs="Times New Roman" w:hint="eastAsia"/>
          <w:sz w:val="52"/>
          <w:szCs w:val="52"/>
        </w:rPr>
        <w:t>報告</w:t>
      </w:r>
    </w:p>
    <w:p w14:paraId="6DD82CC9" w14:textId="77777777" w:rsidR="00E4683D" w:rsidRPr="00F4350A" w:rsidRDefault="00E4683D" w:rsidP="00E4683D">
      <w:pPr>
        <w:rPr>
          <w:rFonts w:ascii="Times New Roman" w:hAnsi="Times New Roman" w:cs="Times New Roman"/>
        </w:rPr>
      </w:pPr>
    </w:p>
    <w:p w14:paraId="7221C8A3" w14:textId="77777777" w:rsidR="00E4683D" w:rsidRPr="00F4350A" w:rsidRDefault="00E4683D" w:rsidP="00E4683D">
      <w:pPr>
        <w:rPr>
          <w:rFonts w:ascii="Times New Roman" w:hAnsi="Times New Roman" w:cs="Times New Roman"/>
        </w:rPr>
      </w:pPr>
    </w:p>
    <w:p w14:paraId="151B0396" w14:textId="77777777" w:rsidR="00E4683D" w:rsidRPr="00F4350A" w:rsidRDefault="00E4683D" w:rsidP="00E4683D">
      <w:pPr>
        <w:rPr>
          <w:rFonts w:ascii="Times New Roman" w:hAnsi="Times New Roman" w:cs="Times New Roman"/>
          <w:sz w:val="32"/>
          <w:szCs w:val="32"/>
        </w:rPr>
      </w:pPr>
      <w:r w:rsidRPr="00F4350A">
        <w:rPr>
          <w:rFonts w:ascii="Times New Roman" w:hAnsi="Times New Roman" w:cs="Times New Roman"/>
          <w:sz w:val="32"/>
          <w:szCs w:val="32"/>
        </w:rPr>
        <w:t>培訓單位：</w:t>
      </w:r>
      <w:proofErr w:type="spellStart"/>
      <w:r w:rsidRPr="00F4350A">
        <w:rPr>
          <w:rFonts w:ascii="Times New Roman" w:hAnsi="Times New Roman" w:cs="Times New Roman"/>
          <w:sz w:val="32"/>
          <w:szCs w:val="32"/>
        </w:rPr>
        <w:t>Cedre</w:t>
      </w:r>
      <w:proofErr w:type="spellEnd"/>
    </w:p>
    <w:p w14:paraId="48655A66" w14:textId="77777777" w:rsidR="00E4683D" w:rsidRPr="00F4350A" w:rsidRDefault="00E4683D" w:rsidP="00E4683D">
      <w:pPr>
        <w:rPr>
          <w:rFonts w:ascii="Times New Roman" w:hAnsi="Times New Roman" w:cs="Times New Roman"/>
          <w:sz w:val="32"/>
          <w:szCs w:val="32"/>
        </w:rPr>
      </w:pPr>
      <w:r w:rsidRPr="00F4350A">
        <w:rPr>
          <w:rFonts w:ascii="Times New Roman" w:hAnsi="Times New Roman" w:cs="Times New Roman"/>
          <w:sz w:val="32"/>
          <w:szCs w:val="32"/>
        </w:rPr>
        <w:t>課程日期：</w:t>
      </w:r>
      <w:r w:rsidRPr="00F4350A">
        <w:rPr>
          <w:rFonts w:ascii="Times New Roman" w:hAnsi="Times New Roman" w:cs="Times New Roman"/>
          <w:sz w:val="32"/>
          <w:szCs w:val="32"/>
        </w:rPr>
        <w:t>112/06/18~06/30</w:t>
      </w:r>
    </w:p>
    <w:p w14:paraId="7349CAC7" w14:textId="77777777" w:rsidR="00E4683D" w:rsidRPr="00F4350A" w:rsidRDefault="00E4683D" w:rsidP="00E4683D">
      <w:pPr>
        <w:rPr>
          <w:rFonts w:ascii="Times New Roman" w:hAnsi="Times New Roman" w:cs="Times New Roman"/>
          <w:sz w:val="32"/>
          <w:szCs w:val="32"/>
        </w:rPr>
      </w:pPr>
    </w:p>
    <w:p w14:paraId="70F51852" w14:textId="3007B2BC" w:rsidR="00E4683D" w:rsidRPr="00F4350A" w:rsidRDefault="00492D48" w:rsidP="00E46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受訓機關單位：</w:t>
      </w:r>
      <w:r w:rsidR="002460C7">
        <w:rPr>
          <w:rFonts w:ascii="Times New Roman" w:hAnsi="Times New Roman" w:cs="Times New Roman" w:hint="eastAsia"/>
          <w:sz w:val="32"/>
          <w:szCs w:val="32"/>
        </w:rPr>
        <w:t>連江縣環境資源局</w:t>
      </w:r>
    </w:p>
    <w:p w14:paraId="05B2EE84" w14:textId="75DE29D8" w:rsidR="00E4683D" w:rsidRPr="00F4350A" w:rsidRDefault="00E4683D" w:rsidP="00E4683D">
      <w:pPr>
        <w:rPr>
          <w:rFonts w:ascii="Times New Roman" w:hAnsi="Times New Roman" w:cs="Times New Roman"/>
          <w:sz w:val="32"/>
          <w:szCs w:val="32"/>
        </w:rPr>
      </w:pPr>
      <w:r w:rsidRPr="00F4350A">
        <w:rPr>
          <w:rFonts w:ascii="Times New Roman" w:hAnsi="Times New Roman" w:cs="Times New Roman"/>
          <w:sz w:val="32"/>
          <w:szCs w:val="32"/>
        </w:rPr>
        <w:t>受訓人員職稱：</w:t>
      </w:r>
      <w:r w:rsidR="002460C7">
        <w:rPr>
          <w:rFonts w:ascii="Times New Roman" w:hAnsi="Times New Roman" w:cs="Times New Roman" w:hint="eastAsia"/>
          <w:sz w:val="32"/>
          <w:szCs w:val="32"/>
        </w:rPr>
        <w:t>科長</w:t>
      </w:r>
    </w:p>
    <w:p w14:paraId="527EFE8F" w14:textId="52141588" w:rsidR="00E4683D" w:rsidRDefault="00E4683D" w:rsidP="00E4683D">
      <w:pPr>
        <w:rPr>
          <w:rFonts w:ascii="Times New Roman" w:hAnsi="Times New Roman" w:cs="Times New Roman"/>
          <w:sz w:val="32"/>
          <w:szCs w:val="32"/>
        </w:rPr>
      </w:pPr>
      <w:r w:rsidRPr="00F4350A">
        <w:rPr>
          <w:rFonts w:ascii="Times New Roman" w:hAnsi="Times New Roman" w:cs="Times New Roman"/>
          <w:sz w:val="32"/>
          <w:szCs w:val="32"/>
        </w:rPr>
        <w:t>受訓人員姓名：</w:t>
      </w:r>
      <w:r w:rsidR="002460C7">
        <w:rPr>
          <w:rFonts w:ascii="Times New Roman" w:hAnsi="Times New Roman" w:cs="Times New Roman" w:hint="eastAsia"/>
          <w:sz w:val="32"/>
          <w:szCs w:val="32"/>
        </w:rPr>
        <w:t>李易修</w:t>
      </w:r>
    </w:p>
    <w:p w14:paraId="4F4616C1" w14:textId="77777777" w:rsidR="002460C7" w:rsidRPr="002460C7" w:rsidRDefault="002460C7" w:rsidP="00E4683D">
      <w:pPr>
        <w:rPr>
          <w:rFonts w:ascii="Times New Roman" w:hAnsi="Times New Roman" w:cs="Times New Roman"/>
          <w:sz w:val="32"/>
          <w:szCs w:val="32"/>
        </w:rPr>
      </w:pPr>
    </w:p>
    <w:p w14:paraId="3CB6FA8D" w14:textId="1A2E61C8" w:rsidR="000C4314" w:rsidRPr="002460C7" w:rsidRDefault="00E4683D" w:rsidP="002460C7">
      <w:pPr>
        <w:jc w:val="center"/>
        <w:rPr>
          <w:rFonts w:ascii="Times New Roman" w:hAnsi="Times New Roman" w:cs="Times New Roman"/>
          <w:sz w:val="32"/>
          <w:szCs w:val="32"/>
        </w:rPr>
      </w:pPr>
      <w:r w:rsidRPr="00F4350A">
        <w:rPr>
          <w:rFonts w:ascii="Times New Roman" w:hAnsi="Times New Roman" w:cs="Times New Roman"/>
          <w:sz w:val="32"/>
          <w:szCs w:val="32"/>
        </w:rPr>
        <w:t>中華民國一一二年七月</w:t>
      </w:r>
      <w:r w:rsidR="00BE483B">
        <w:rPr>
          <w:rFonts w:ascii="Times New Roman" w:hAnsi="Times New Roman" w:cs="Times New Roman" w:hint="eastAsia"/>
          <w:sz w:val="32"/>
          <w:szCs w:val="32"/>
        </w:rPr>
        <w:t>二十八</w:t>
      </w:r>
      <w:r w:rsidRPr="00F4350A">
        <w:rPr>
          <w:rFonts w:ascii="Times New Roman" w:hAnsi="Times New Roman" w:cs="Times New Roman"/>
          <w:sz w:val="32"/>
          <w:szCs w:val="32"/>
        </w:rPr>
        <w:t>日</w:t>
      </w:r>
    </w:p>
    <w:p w14:paraId="1DF0DFCB" w14:textId="5D8B848E" w:rsidR="0091104F" w:rsidRPr="00510227" w:rsidRDefault="0091104F" w:rsidP="0091104F">
      <w:pPr>
        <w:adjustRightInd w:val="0"/>
        <w:snapToGrid w:val="0"/>
        <w:spacing w:beforeLines="50" w:before="180" w:afterLines="50" w:after="18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目的</w:t>
      </w:r>
    </w:p>
    <w:p w14:paraId="31BF962C" w14:textId="3F2BD3B8" w:rsidR="0091104F" w:rsidRDefault="0012644A" w:rsidP="0012644A">
      <w:pPr>
        <w:pStyle w:val="a3"/>
        <w:adjustRightInd w:val="0"/>
        <w:snapToGrid w:val="0"/>
        <w:spacing w:beforeLines="50" w:before="180" w:afterLines="50" w:after="180" w:line="320" w:lineRule="exact"/>
        <w:ind w:leftChars="0" w:left="426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</w:t>
      </w:r>
      <w:r w:rsidRPr="0012644A">
        <w:rPr>
          <w:rFonts w:ascii="Times New Roman" w:hAnsi="Times New Roman" w:cs="Times New Roman"/>
          <w:color w:val="000000"/>
        </w:rPr>
        <w:t>連江縣位處大陸閩江口外海之馬祖列島，周邊海域為兩岸海運航道，亦常有各項作業船隻執行任務，導致幾乎年年有海洋油污染事件發生，又礙於連江縣距離台灣本島甚遠，</w:t>
      </w:r>
      <w:proofErr w:type="gramStart"/>
      <w:r w:rsidRPr="0012644A">
        <w:rPr>
          <w:rFonts w:ascii="Times New Roman" w:hAnsi="Times New Roman" w:cs="Times New Roman"/>
          <w:color w:val="000000"/>
        </w:rPr>
        <w:t>在地油污染</w:t>
      </w:r>
      <w:proofErr w:type="gramEnd"/>
      <w:r w:rsidRPr="0012644A">
        <w:rPr>
          <w:rFonts w:ascii="Times New Roman" w:hAnsi="Times New Roman" w:cs="Times New Roman"/>
          <w:color w:val="000000"/>
        </w:rPr>
        <w:t>事件皆需靠地方能量即時因應，希望未來能將本次訓練成果實際運用於地區，以提升連江縣在地應變量能及效率。</w:t>
      </w:r>
    </w:p>
    <w:p w14:paraId="5F6EA4B1" w14:textId="77777777" w:rsidR="0012644A" w:rsidRPr="0012644A" w:rsidRDefault="0012644A" w:rsidP="0012644A">
      <w:pPr>
        <w:pStyle w:val="a3"/>
        <w:adjustRightInd w:val="0"/>
        <w:snapToGrid w:val="0"/>
        <w:spacing w:beforeLines="50" w:before="180" w:afterLines="50" w:after="180" w:line="320" w:lineRule="exact"/>
        <w:ind w:leftChars="0" w:left="426"/>
        <w:rPr>
          <w:rFonts w:ascii="Times New Roman" w:hAnsi="Times New Roman" w:cs="Times New Roman" w:hint="eastAsia"/>
          <w:bCs/>
        </w:rPr>
      </w:pPr>
    </w:p>
    <w:p w14:paraId="4A980DCE" w14:textId="3943D297" w:rsidR="0091104F" w:rsidRPr="00510227" w:rsidRDefault="0012644A" w:rsidP="0091104F">
      <w:pPr>
        <w:adjustRightInd w:val="0"/>
        <w:snapToGrid w:val="0"/>
        <w:spacing w:beforeLines="50" w:before="180" w:afterLines="50" w:after="18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過程</w:t>
      </w: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2127"/>
        <w:gridCol w:w="5103"/>
        <w:gridCol w:w="1985"/>
      </w:tblGrid>
      <w:tr w:rsidR="0044568E" w:rsidRPr="00E54A73" w14:paraId="0FB3F0EB" w14:textId="77777777" w:rsidTr="00FB22C6">
        <w:trPr>
          <w:trHeight w:val="476"/>
          <w:tblHeader/>
          <w:jc w:val="center"/>
        </w:trPr>
        <w:tc>
          <w:tcPr>
            <w:tcW w:w="2127" w:type="dxa"/>
            <w:shd w:val="clear" w:color="auto" w:fill="DEEAF6" w:themeFill="accent5" w:themeFillTint="33"/>
          </w:tcPr>
          <w:p w14:paraId="6E9CFF5A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17FD2512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行程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6583E34D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備註</w:t>
            </w:r>
          </w:p>
        </w:tc>
      </w:tr>
      <w:tr w:rsidR="0044568E" w:rsidRPr="00E54A73" w14:paraId="72C560F7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052E2916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第一天</w:t>
            </w:r>
          </w:p>
          <w:p w14:paraId="56EAEFEE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18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0E036D7B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搭機前往法國：桃園機場至法國戴高樂機場</w:t>
            </w:r>
          </w:p>
        </w:tc>
        <w:tc>
          <w:tcPr>
            <w:tcW w:w="1985" w:type="dxa"/>
            <w:vAlign w:val="center"/>
          </w:tcPr>
          <w:p w14:paraId="348BD05D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臺灣</w:t>
            </w:r>
            <w:r w:rsidRPr="00E54A73">
              <w:rPr>
                <w:rFonts w:eastAsia="標楷體"/>
                <w:color w:val="000000" w:themeColor="text1"/>
                <w:sz w:val="24"/>
              </w:rPr>
              <w:t>-</w:t>
            </w:r>
            <w:r w:rsidRPr="00E54A73">
              <w:rPr>
                <w:rFonts w:eastAsia="標楷體"/>
                <w:color w:val="000000" w:themeColor="text1"/>
                <w:sz w:val="24"/>
              </w:rPr>
              <w:t>法國巴黎</w:t>
            </w:r>
          </w:p>
        </w:tc>
      </w:tr>
      <w:tr w:rsidR="0044568E" w:rsidRPr="00E54A73" w14:paraId="67FC5801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1925D420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第二天</w:t>
            </w:r>
          </w:p>
          <w:p w14:paraId="5B4794C8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1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9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proofErr w:type="gramStart"/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一</w:t>
            </w:r>
            <w:proofErr w:type="gramEnd"/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6423AF98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color w:val="000000" w:themeColor="text1"/>
                <w:sz w:val="24"/>
              </w:rPr>
              <w:t>抵達</w:t>
            </w:r>
            <w:r w:rsidRPr="00E54A73">
              <w:rPr>
                <w:rFonts w:eastAsia="標楷體"/>
                <w:color w:val="000000" w:themeColor="text1"/>
                <w:sz w:val="24"/>
              </w:rPr>
              <w:t>法國戴高樂機場</w:t>
            </w:r>
          </w:p>
          <w:p w14:paraId="48144C7C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搭火車</w:t>
            </w:r>
            <w:r w:rsidRPr="00E54A73">
              <w:rPr>
                <w:rFonts w:eastAsia="標楷體"/>
                <w:color w:val="000000" w:themeColor="text1"/>
                <w:sz w:val="24"/>
              </w:rPr>
              <w:t>(TGV)</w:t>
            </w:r>
            <w:r w:rsidRPr="00E54A73">
              <w:rPr>
                <w:rFonts w:eastAsia="標楷體"/>
                <w:color w:val="000000" w:themeColor="text1"/>
                <w:sz w:val="24"/>
              </w:rPr>
              <w:t>前往布雷斯特</w:t>
            </w:r>
          </w:p>
        </w:tc>
        <w:tc>
          <w:tcPr>
            <w:tcW w:w="1985" w:type="dxa"/>
            <w:vAlign w:val="center"/>
          </w:tcPr>
          <w:p w14:paraId="4DC70AF6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巴黎</w:t>
            </w:r>
            <w:r w:rsidRPr="00E54A73">
              <w:rPr>
                <w:rFonts w:eastAsia="標楷體"/>
                <w:color w:val="000000" w:themeColor="text1"/>
                <w:sz w:val="24"/>
              </w:rPr>
              <w:t>-</w:t>
            </w: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3F2FCBF3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56C919FE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第三天</w:t>
            </w:r>
          </w:p>
          <w:p w14:paraId="7BF71A3C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20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二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51B65E64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於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Cedre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>接受油污染訓練課程</w:t>
            </w:r>
          </w:p>
          <w:p w14:paraId="5C500010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主題一、意外洩漏應變準備和框架</w:t>
            </w:r>
          </w:p>
        </w:tc>
        <w:tc>
          <w:tcPr>
            <w:tcW w:w="1985" w:type="dxa"/>
            <w:vAlign w:val="center"/>
          </w:tcPr>
          <w:p w14:paraId="041F4892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4BEE50F4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27B00AFC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第四天</w:t>
            </w:r>
          </w:p>
          <w:p w14:paraId="27A239FE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1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三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159793F3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於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Cedre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>接受油污染訓練課程</w:t>
            </w:r>
          </w:p>
          <w:p w14:paraId="7313A079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主題二、油污染評估和決策</w:t>
            </w:r>
          </w:p>
        </w:tc>
        <w:tc>
          <w:tcPr>
            <w:tcW w:w="1985" w:type="dxa"/>
            <w:vAlign w:val="center"/>
          </w:tcPr>
          <w:p w14:paraId="530041EF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01B13B01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10A48665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第五天</w:t>
            </w:r>
          </w:p>
          <w:p w14:paraId="12C49DCC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四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1BE64B11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於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Cedre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>接受油污染訓練課程</w:t>
            </w:r>
          </w:p>
          <w:p w14:paraId="6CDA883D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主題三、海上油污染應變策略</w:t>
            </w:r>
          </w:p>
        </w:tc>
        <w:tc>
          <w:tcPr>
            <w:tcW w:w="1985" w:type="dxa"/>
            <w:vAlign w:val="center"/>
          </w:tcPr>
          <w:p w14:paraId="16A98DCA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6D0C1B4E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073146D2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第六天</w:t>
            </w:r>
          </w:p>
          <w:p w14:paraId="08769546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3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五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484964A1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於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Cedre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>接受油污染訓練課程</w:t>
            </w:r>
          </w:p>
          <w:p w14:paraId="42A646A3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主題四、海岸線的油污染應變策略</w:t>
            </w:r>
          </w:p>
          <w:p w14:paraId="7FF0BF77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主題五、溝通</w:t>
            </w:r>
          </w:p>
          <w:p w14:paraId="51EE39C8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主題六、桌面練習</w:t>
            </w:r>
          </w:p>
          <w:p w14:paraId="3B2B89BE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結業</w:t>
            </w: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(</w:t>
            </w: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頒發證書</w:t>
            </w: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)</w:t>
            </w:r>
          </w:p>
        </w:tc>
        <w:tc>
          <w:tcPr>
            <w:tcW w:w="1985" w:type="dxa"/>
            <w:vAlign w:val="center"/>
          </w:tcPr>
          <w:p w14:paraId="105020EF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459045D7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04807F2B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第七天</w:t>
            </w:r>
          </w:p>
          <w:p w14:paraId="509B4373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4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六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6F7780C5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文化參訪</w:t>
            </w:r>
          </w:p>
          <w:p w14:paraId="5693F848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聖米歇爾山</w:t>
            </w:r>
            <w:r w:rsidRPr="00E54A73">
              <w:rPr>
                <w:rFonts w:eastAsia="標楷體"/>
                <w:color w:val="000000" w:themeColor="text1"/>
                <w:sz w:val="24"/>
              </w:rPr>
              <w:t>Mont-Saint-Michel</w:t>
            </w:r>
          </w:p>
          <w:p w14:paraId="05A8BF99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聖馬洛市</w:t>
            </w:r>
            <w:r w:rsidRPr="00E54A73">
              <w:rPr>
                <w:rFonts w:eastAsia="標楷體"/>
                <w:color w:val="000000" w:themeColor="text1"/>
                <w:sz w:val="24"/>
              </w:rPr>
              <w:t>Saint-Malo</w:t>
            </w:r>
          </w:p>
        </w:tc>
        <w:tc>
          <w:tcPr>
            <w:tcW w:w="1985" w:type="dxa"/>
            <w:vAlign w:val="center"/>
          </w:tcPr>
          <w:p w14:paraId="35CAF11A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348CDF02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4AD42950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第八天</w:t>
            </w:r>
          </w:p>
          <w:p w14:paraId="4841C498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5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1E1FCF97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文化參訪</w:t>
            </w:r>
          </w:p>
          <w:p w14:paraId="456B9B90" w14:textId="77777777" w:rsidR="0012644A" w:rsidRPr="00E54A73" w:rsidRDefault="0012644A" w:rsidP="00FB22C6">
            <w:pPr>
              <w:jc w:val="both"/>
              <w:rPr>
                <w:rFonts w:eastAsia="標楷體"/>
                <w:noProof/>
                <w:color w:val="000000" w:themeColor="text1"/>
                <w:sz w:val="24"/>
              </w:rPr>
            </w:pPr>
            <w:r w:rsidRPr="00E54A73">
              <w:rPr>
                <w:rFonts w:eastAsia="標楷體"/>
                <w:noProof/>
                <w:color w:val="000000" w:themeColor="text1"/>
                <w:sz w:val="24"/>
              </w:rPr>
              <w:t>1.</w:t>
            </w:r>
            <w:r w:rsidRPr="00E54A73">
              <w:rPr>
                <w:rFonts w:eastAsia="標楷體"/>
                <w:noProof/>
                <w:color w:val="000000" w:themeColor="text1"/>
                <w:sz w:val="24"/>
              </w:rPr>
              <w:t>洛克羅南市</w:t>
            </w:r>
            <w:r w:rsidRPr="00E54A73">
              <w:rPr>
                <w:rFonts w:eastAsia="標楷體"/>
                <w:noProof/>
                <w:color w:val="000000" w:themeColor="text1"/>
                <w:sz w:val="24"/>
              </w:rPr>
              <w:t xml:space="preserve"> Locronan</w:t>
            </w:r>
          </w:p>
          <w:p w14:paraId="4C3BB6A2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2.</w:t>
            </w:r>
            <w:r w:rsidRPr="00E54A73">
              <w:rPr>
                <w:rFonts w:eastAsia="標楷體"/>
                <w:color w:val="000000" w:themeColor="text1"/>
                <w:sz w:val="24"/>
              </w:rPr>
              <w:t>坎佩爾市</w:t>
            </w:r>
            <w:r w:rsidRPr="00E54A73">
              <w:rPr>
                <w:rFonts w:eastAsia="標楷體"/>
                <w:color w:val="000000" w:themeColor="text1"/>
                <w:sz w:val="24"/>
              </w:rPr>
              <w:t>Quimper</w:t>
            </w:r>
          </w:p>
        </w:tc>
        <w:tc>
          <w:tcPr>
            <w:tcW w:w="1985" w:type="dxa"/>
            <w:vAlign w:val="center"/>
          </w:tcPr>
          <w:p w14:paraId="29DA3E18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5CD35B5B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1B5423B9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第九天</w:t>
            </w:r>
          </w:p>
          <w:p w14:paraId="05EB3B70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proofErr w:type="gramStart"/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一</w:t>
            </w:r>
            <w:proofErr w:type="gramEnd"/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2C53F940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於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Cedre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>接受</w:t>
            </w:r>
            <w:r w:rsidRPr="00E54A73">
              <w:rPr>
                <w:rFonts w:eastAsia="標楷體"/>
                <w:color w:val="000000" w:themeColor="text1"/>
                <w:sz w:val="24"/>
              </w:rPr>
              <w:t>HNS</w:t>
            </w:r>
            <w:r w:rsidRPr="00E54A73">
              <w:rPr>
                <w:rFonts w:eastAsia="標楷體"/>
                <w:color w:val="000000" w:themeColor="text1"/>
                <w:sz w:val="24"/>
              </w:rPr>
              <w:t>訓練課程</w:t>
            </w:r>
          </w:p>
          <w:p w14:paraId="2C8DE39E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主題七、</w:t>
            </w:r>
            <w:r w:rsidRPr="00E54A73">
              <w:rPr>
                <w:rFonts w:eastAsia="標楷體"/>
                <w:color w:val="000000" w:themeColor="text1"/>
                <w:sz w:val="24"/>
              </w:rPr>
              <w:t xml:space="preserve">HNS </w:t>
            </w:r>
            <w:r w:rsidRPr="00E54A73">
              <w:rPr>
                <w:rFonts w:eastAsia="標楷體"/>
                <w:color w:val="000000" w:themeColor="text1"/>
                <w:sz w:val="24"/>
              </w:rPr>
              <w:t>應變簡介</w:t>
            </w:r>
          </w:p>
          <w:p w14:paraId="5A61F64B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主題八、預防及準備</w:t>
            </w:r>
          </w:p>
        </w:tc>
        <w:tc>
          <w:tcPr>
            <w:tcW w:w="1985" w:type="dxa"/>
            <w:vAlign w:val="center"/>
          </w:tcPr>
          <w:p w14:paraId="7B32898A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122D4B35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3364A560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第十天</w:t>
            </w:r>
          </w:p>
          <w:p w14:paraId="37291C42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7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二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3F2DD549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於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Cedre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>接受</w:t>
            </w:r>
            <w:r w:rsidRPr="00E54A73">
              <w:rPr>
                <w:rFonts w:eastAsia="標楷體"/>
                <w:color w:val="000000" w:themeColor="text1"/>
                <w:sz w:val="24"/>
              </w:rPr>
              <w:t>HNS</w:t>
            </w:r>
            <w:r w:rsidRPr="00E54A73">
              <w:rPr>
                <w:rFonts w:eastAsia="標楷體"/>
                <w:color w:val="000000" w:themeColor="text1"/>
                <w:sz w:val="24"/>
              </w:rPr>
              <w:t>訓練課程</w:t>
            </w:r>
          </w:p>
          <w:p w14:paraId="5C5C2C08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主題九、海上化學品應變</w:t>
            </w:r>
          </w:p>
          <w:p w14:paraId="571218EE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主題十、桌面練習</w:t>
            </w:r>
          </w:p>
          <w:p w14:paraId="6C533D1F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結業</w:t>
            </w: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(</w:t>
            </w: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頒發證書</w:t>
            </w:r>
            <w:r w:rsidRPr="00E54A73">
              <w:rPr>
                <w:rFonts w:eastAsia="標楷體"/>
                <w:color w:val="000000" w:themeColor="text1"/>
                <w:sz w:val="24"/>
                <w:highlight w:val="yellow"/>
              </w:rPr>
              <w:t>)</w:t>
            </w:r>
          </w:p>
        </w:tc>
        <w:tc>
          <w:tcPr>
            <w:tcW w:w="1985" w:type="dxa"/>
            <w:vAlign w:val="center"/>
          </w:tcPr>
          <w:p w14:paraId="505CC639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</w:p>
        </w:tc>
      </w:tr>
      <w:tr w:rsidR="0044568E" w:rsidRPr="00E54A73" w14:paraId="59373C99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6EAAE334" w14:textId="5053E628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lastRenderedPageBreak/>
              <w:t>第十一天</w:t>
            </w:r>
          </w:p>
          <w:p w14:paraId="2CDB2F83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8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三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6FBA8489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搭火車</w:t>
            </w:r>
            <w:r w:rsidRPr="00E54A73">
              <w:rPr>
                <w:rFonts w:eastAsia="標楷體"/>
                <w:color w:val="000000" w:themeColor="text1"/>
                <w:sz w:val="24"/>
              </w:rPr>
              <w:t>(TGV)</w:t>
            </w:r>
            <w:r w:rsidRPr="00E54A73">
              <w:rPr>
                <w:rFonts w:eastAsia="標楷體"/>
                <w:color w:val="000000" w:themeColor="text1"/>
                <w:sz w:val="24"/>
              </w:rPr>
              <w:t>前往巴黎</w:t>
            </w:r>
          </w:p>
          <w:p w14:paraId="617B74B4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color w:val="000000" w:themeColor="text1"/>
                <w:sz w:val="24"/>
              </w:rPr>
              <w:t>巴黎參訪</w:t>
            </w:r>
          </w:p>
          <w:p w14:paraId="5838FDAC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color w:val="000000" w:themeColor="text1"/>
                <w:sz w:val="24"/>
              </w:rPr>
              <w:t>1</w:t>
            </w:r>
            <w:r w:rsidRPr="00E54A73">
              <w:rPr>
                <w:rFonts w:eastAsia="標楷體"/>
                <w:color w:val="000000" w:themeColor="text1"/>
                <w:sz w:val="24"/>
              </w:rPr>
              <w:t>.</w:t>
            </w:r>
            <w:r w:rsidRPr="00E54A73">
              <w:rPr>
                <w:rFonts w:eastAsia="標楷體" w:hint="eastAsia"/>
                <w:color w:val="000000" w:themeColor="text1"/>
                <w:sz w:val="24"/>
              </w:rPr>
              <w:t>塞納河</w:t>
            </w:r>
            <w:r w:rsidRPr="00E54A73">
              <w:rPr>
                <w:rFonts w:eastAsia="標楷體"/>
                <w:color w:val="000000" w:themeColor="text1"/>
                <w:sz w:val="24"/>
              </w:rPr>
              <w:t>Seine</w:t>
            </w:r>
          </w:p>
          <w:p w14:paraId="1D6898FC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color w:val="000000" w:themeColor="text1"/>
                <w:sz w:val="24"/>
              </w:rPr>
              <w:t>.</w:t>
            </w:r>
            <w:r w:rsidRPr="00E54A73">
              <w:rPr>
                <w:rFonts w:eastAsia="標楷體" w:hint="eastAsia"/>
                <w:color w:val="000000" w:themeColor="text1"/>
                <w:sz w:val="24"/>
              </w:rPr>
              <w:t>凱旋門</w:t>
            </w:r>
            <w:r w:rsidRPr="00E54A73">
              <w:rPr>
                <w:rFonts w:eastAsia="標楷體"/>
                <w:color w:val="000000" w:themeColor="text1"/>
                <w:sz w:val="24"/>
              </w:rPr>
              <w:t xml:space="preserve">Arc de 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triomphe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 xml:space="preserve"> de 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l'Étoile</w:t>
            </w:r>
            <w:proofErr w:type="spellEnd"/>
          </w:p>
          <w:p w14:paraId="50C1CBCB" w14:textId="372C8E7D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color w:val="000000" w:themeColor="text1"/>
                <w:sz w:val="24"/>
              </w:rPr>
              <w:t>3</w:t>
            </w:r>
            <w:r w:rsidRPr="00E54A73">
              <w:rPr>
                <w:rFonts w:eastAsia="標楷體"/>
                <w:color w:val="000000" w:themeColor="text1"/>
                <w:sz w:val="24"/>
              </w:rPr>
              <w:t>.</w:t>
            </w:r>
            <w:r w:rsidRPr="00E54A73">
              <w:rPr>
                <w:rFonts w:eastAsia="標楷體" w:hint="eastAsia"/>
                <w:color w:val="000000" w:themeColor="text1"/>
                <w:sz w:val="24"/>
              </w:rPr>
              <w:t>老佛爺百貨</w:t>
            </w:r>
            <w:proofErr w:type="spellStart"/>
            <w:r w:rsidRPr="00E54A73">
              <w:rPr>
                <w:rFonts w:eastAsia="標楷體"/>
                <w:color w:val="000000" w:themeColor="text1"/>
                <w:sz w:val="24"/>
              </w:rPr>
              <w:t>Galeries</w:t>
            </w:r>
            <w:proofErr w:type="spellEnd"/>
            <w:r w:rsidRPr="00E54A73">
              <w:rPr>
                <w:rFonts w:eastAsia="標楷體"/>
                <w:color w:val="000000" w:themeColor="text1"/>
                <w:sz w:val="24"/>
              </w:rPr>
              <w:t xml:space="preserve"> Lafayette Haussmann</w:t>
            </w:r>
          </w:p>
        </w:tc>
        <w:tc>
          <w:tcPr>
            <w:tcW w:w="1985" w:type="dxa"/>
            <w:vAlign w:val="center"/>
          </w:tcPr>
          <w:p w14:paraId="35B41931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布雷斯特</w:t>
            </w:r>
            <w:r w:rsidRPr="00E54A73">
              <w:rPr>
                <w:rFonts w:eastAsia="標楷體"/>
                <w:color w:val="000000" w:themeColor="text1"/>
                <w:sz w:val="24"/>
              </w:rPr>
              <w:t>-</w:t>
            </w:r>
            <w:r w:rsidRPr="00E54A73">
              <w:rPr>
                <w:rFonts w:eastAsia="標楷體"/>
                <w:color w:val="000000" w:themeColor="text1"/>
                <w:sz w:val="24"/>
              </w:rPr>
              <w:t>巴黎</w:t>
            </w:r>
          </w:p>
        </w:tc>
      </w:tr>
      <w:tr w:rsidR="0044568E" w:rsidRPr="00E54A73" w14:paraId="4F59C572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371CA495" w14:textId="77777777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第十二天</w:t>
            </w:r>
          </w:p>
          <w:p w14:paraId="60E2AA4A" w14:textId="77495A51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2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9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四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72ABC1A1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搭機返回臺灣：法國戴高樂機場至桃園機場</w:t>
            </w:r>
          </w:p>
        </w:tc>
        <w:tc>
          <w:tcPr>
            <w:tcW w:w="1985" w:type="dxa"/>
            <w:vAlign w:val="center"/>
          </w:tcPr>
          <w:p w14:paraId="42303B25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法國巴黎</w:t>
            </w:r>
            <w:r w:rsidRPr="00E54A73">
              <w:rPr>
                <w:rFonts w:eastAsia="標楷體"/>
                <w:color w:val="000000" w:themeColor="text1"/>
                <w:sz w:val="24"/>
              </w:rPr>
              <w:t>-</w:t>
            </w:r>
            <w:r w:rsidRPr="00E54A73">
              <w:rPr>
                <w:rFonts w:eastAsia="標楷體"/>
                <w:color w:val="000000" w:themeColor="text1"/>
                <w:sz w:val="24"/>
              </w:rPr>
              <w:t>臺灣</w:t>
            </w:r>
          </w:p>
        </w:tc>
      </w:tr>
      <w:tr w:rsidR="0012644A" w:rsidRPr="00E54A73" w14:paraId="5D429C2F" w14:textId="77777777" w:rsidTr="00FB22C6">
        <w:trPr>
          <w:jc w:val="center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41F8796F" w14:textId="60E74685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第十三天</w:t>
            </w:r>
          </w:p>
          <w:p w14:paraId="74577B0D" w14:textId="5966BF3F" w:rsidR="0012644A" w:rsidRPr="00E54A73" w:rsidRDefault="0012644A" w:rsidP="00FB22C6">
            <w:pPr>
              <w:jc w:val="center"/>
              <w:rPr>
                <w:rFonts w:eastAsia="標楷體"/>
                <w:b/>
                <w:bCs/>
                <w:color w:val="000000" w:themeColor="text1"/>
                <w:sz w:val="24"/>
              </w:rPr>
            </w:pP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(6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月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>30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日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  <w:r w:rsidRPr="00E54A73">
              <w:rPr>
                <w:rFonts w:eastAsia="標楷體"/>
                <w:b/>
                <w:bCs/>
                <w:color w:val="000000" w:themeColor="text1"/>
                <w:sz w:val="24"/>
              </w:rPr>
              <w:t xml:space="preserve"> (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五</w:t>
            </w:r>
            <w:r w:rsidRPr="00E54A73">
              <w:rPr>
                <w:rFonts w:eastAsia="標楷體"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5B1898DB" w14:textId="0608CED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臺灣桃園機場</w:t>
            </w:r>
          </w:p>
        </w:tc>
        <w:tc>
          <w:tcPr>
            <w:tcW w:w="1985" w:type="dxa"/>
            <w:vAlign w:val="center"/>
          </w:tcPr>
          <w:p w14:paraId="59AD026B" w14:textId="77777777" w:rsidR="0012644A" w:rsidRPr="00E54A73" w:rsidRDefault="0012644A" w:rsidP="00FB22C6">
            <w:pPr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54A73">
              <w:rPr>
                <w:rFonts w:eastAsia="標楷體"/>
                <w:color w:val="000000" w:themeColor="text1"/>
                <w:sz w:val="24"/>
              </w:rPr>
              <w:t>臺灣</w:t>
            </w:r>
          </w:p>
        </w:tc>
      </w:tr>
    </w:tbl>
    <w:p w14:paraId="7D42899B" w14:textId="66425E78" w:rsidR="0044568E" w:rsidRPr="0044568E" w:rsidRDefault="0044568E" w:rsidP="0044568E">
      <w:pPr>
        <w:pStyle w:val="a3"/>
        <w:adjustRightInd w:val="0"/>
        <w:snapToGrid w:val="0"/>
        <w:spacing w:beforeLines="50" w:before="180" w:afterLines="50" w:after="180" w:line="320" w:lineRule="exact"/>
        <w:ind w:leftChars="0" w:left="426"/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 w:hint="eastAsia"/>
          <w:bCs/>
          <w:noProof/>
        </w:rPr>
        <w:drawing>
          <wp:anchor distT="0" distB="0" distL="114300" distR="114300" simplePos="0" relativeHeight="251660288" behindDoc="1" locked="0" layoutInCell="1" allowOverlap="1" wp14:anchorId="75D854E2" wp14:editId="4F72FC41">
            <wp:simplePos x="0" y="0"/>
            <wp:positionH relativeFrom="column">
              <wp:posOffset>2891790</wp:posOffset>
            </wp:positionH>
            <wp:positionV relativeFrom="paragraph">
              <wp:posOffset>2020570</wp:posOffset>
            </wp:positionV>
            <wp:extent cx="2486025" cy="1864995"/>
            <wp:effectExtent l="0" t="0" r="9525" b="1905"/>
            <wp:wrapTight wrapText="bothSides">
              <wp:wrapPolygon edited="0">
                <wp:start x="0" y="0"/>
                <wp:lineTo x="0" y="21401"/>
                <wp:lineTo x="21517" y="21401"/>
                <wp:lineTo x="2151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D04E0-AED9-406C-B145-2C14F4E041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Cs/>
          <w:noProof/>
        </w:rPr>
        <w:drawing>
          <wp:anchor distT="0" distB="0" distL="114300" distR="114300" simplePos="0" relativeHeight="251659264" behindDoc="1" locked="0" layoutInCell="1" allowOverlap="1" wp14:anchorId="59280F6A" wp14:editId="74EC3D6F">
            <wp:simplePos x="0" y="0"/>
            <wp:positionH relativeFrom="column">
              <wp:posOffset>2894965</wp:posOffset>
            </wp:positionH>
            <wp:positionV relativeFrom="paragraph">
              <wp:posOffset>94615</wp:posOffset>
            </wp:positionV>
            <wp:extent cx="2486025" cy="1863725"/>
            <wp:effectExtent l="0" t="0" r="9525" b="3175"/>
            <wp:wrapTight wrapText="bothSides">
              <wp:wrapPolygon edited="0">
                <wp:start x="0" y="0"/>
                <wp:lineTo x="0" y="21416"/>
                <wp:lineTo x="21517" y="21416"/>
                <wp:lineTo x="2151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3FAF9-3908-4251-BD40-DE5B09FC63B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3B4FC" w14:textId="23893F60" w:rsidR="00910B3C" w:rsidRPr="00510227" w:rsidRDefault="0044568E" w:rsidP="00510227">
      <w:pPr>
        <w:adjustRightInd w:val="0"/>
        <w:snapToGrid w:val="0"/>
        <w:spacing w:beforeLines="50" w:before="180" w:afterLines="50" w:after="180"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6FC1505F" wp14:editId="6C6CE838">
            <wp:simplePos x="0" y="0"/>
            <wp:positionH relativeFrom="column">
              <wp:posOffset>-629285</wp:posOffset>
            </wp:positionH>
            <wp:positionV relativeFrom="paragraph">
              <wp:posOffset>125095</wp:posOffset>
            </wp:positionV>
            <wp:extent cx="3705860" cy="2779395"/>
            <wp:effectExtent l="6032" t="0" r="0" b="0"/>
            <wp:wrapTight wrapText="bothSides">
              <wp:wrapPolygon edited="0">
                <wp:start x="35" y="21647"/>
                <wp:lineTo x="21465" y="21647"/>
                <wp:lineTo x="21465" y="180"/>
                <wp:lineTo x="35" y="180"/>
                <wp:lineTo x="35" y="21647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B0853E-CE2D-45D2-AE32-53A472C141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586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27" w:rsidRPr="00510227">
        <w:rPr>
          <w:rFonts w:ascii="Times New Roman" w:hAnsi="Times New Roman" w:cs="Times New Roman" w:hint="eastAsia"/>
          <w:sz w:val="32"/>
          <w:szCs w:val="32"/>
        </w:rPr>
        <w:t>心得</w:t>
      </w:r>
      <w:r w:rsidR="0091104F">
        <w:rPr>
          <w:rFonts w:ascii="Times New Roman" w:hAnsi="Times New Roman" w:cs="Times New Roman" w:hint="eastAsia"/>
          <w:sz w:val="32"/>
          <w:szCs w:val="32"/>
        </w:rPr>
        <w:t>及建議</w:t>
      </w:r>
    </w:p>
    <w:p w14:paraId="31CCE2A1" w14:textId="77777777" w:rsidR="00FD71FE" w:rsidRPr="00FD71FE" w:rsidRDefault="002460C7" w:rsidP="00811AD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320" w:lineRule="exact"/>
        <w:ind w:leftChars="0"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很榮幸</w:t>
      </w:r>
      <w:r w:rsidR="009428C6" w:rsidRPr="00510227">
        <w:rPr>
          <w:rFonts w:ascii="Times New Roman" w:hAnsi="Times New Roman" w:cs="Times New Roman" w:hint="eastAsia"/>
          <w:bCs/>
        </w:rPr>
        <w:t>有</w:t>
      </w:r>
      <w:r>
        <w:rPr>
          <w:rFonts w:ascii="Times New Roman" w:hAnsi="Times New Roman" w:cs="Times New Roman" w:hint="eastAsia"/>
          <w:bCs/>
        </w:rPr>
        <w:t>這難得</w:t>
      </w:r>
      <w:r w:rsidR="009428C6" w:rsidRPr="00510227">
        <w:rPr>
          <w:rFonts w:ascii="Times New Roman" w:hAnsi="Times New Roman" w:cs="Times New Roman" w:hint="eastAsia"/>
          <w:bCs/>
        </w:rPr>
        <w:t>機會</w:t>
      </w:r>
      <w:r>
        <w:rPr>
          <w:rFonts w:ascii="Times New Roman" w:hAnsi="Times New Roman" w:cs="Times New Roman" w:hint="eastAsia"/>
          <w:bCs/>
        </w:rPr>
        <w:t>獲得服務機關</w:t>
      </w:r>
      <w:r>
        <w:rPr>
          <w:rFonts w:ascii="Times New Roman" w:hAnsi="Times New Roman" w:cs="Times New Roman" w:hint="eastAsia"/>
          <w:bCs/>
        </w:rPr>
        <w:t>(</w:t>
      </w:r>
      <w:r>
        <w:rPr>
          <w:rFonts w:ascii="Times New Roman" w:hAnsi="Times New Roman" w:cs="Times New Roman" w:hint="eastAsia"/>
          <w:bCs/>
        </w:rPr>
        <w:t>連江縣環境資源局</w:t>
      </w:r>
      <w:r>
        <w:rPr>
          <w:rFonts w:ascii="Times New Roman" w:hAnsi="Times New Roman" w:cs="Times New Roman" w:hint="eastAsia"/>
          <w:bCs/>
        </w:rPr>
        <w:t>)</w:t>
      </w:r>
      <w:r>
        <w:rPr>
          <w:rFonts w:ascii="Times New Roman" w:hAnsi="Times New Roman" w:cs="Times New Roman" w:hint="eastAsia"/>
          <w:bCs/>
        </w:rPr>
        <w:t>推薦</w:t>
      </w:r>
      <w:r w:rsidR="00FD71FE">
        <w:rPr>
          <w:rFonts w:ascii="Times New Roman" w:hAnsi="Times New Roman" w:cs="Times New Roman" w:hint="eastAsia"/>
          <w:bCs/>
        </w:rPr>
        <w:t>，奉派</w:t>
      </w:r>
      <w:r>
        <w:rPr>
          <w:rFonts w:ascii="Times New Roman" w:hAnsi="Times New Roman" w:cs="Times New Roman" w:hint="eastAsia"/>
          <w:bCs/>
        </w:rPr>
        <w:t>參</w:t>
      </w:r>
      <w:bookmarkStart w:id="0" w:name="_GoBack"/>
      <w:bookmarkEnd w:id="0"/>
      <w:r>
        <w:rPr>
          <w:rFonts w:ascii="Times New Roman" w:hAnsi="Times New Roman" w:cs="Times New Roman" w:hint="eastAsia"/>
          <w:bCs/>
        </w:rPr>
        <w:t>與本次</w:t>
      </w:r>
      <w:proofErr w:type="gramStart"/>
      <w:r>
        <w:rPr>
          <w:rFonts w:ascii="Times New Roman" w:hAnsi="Times New Roman" w:cs="Times New Roman" w:hint="eastAsia"/>
          <w:bCs/>
        </w:rPr>
        <w:t>由海委會</w:t>
      </w:r>
      <w:proofErr w:type="gramEnd"/>
      <w:r>
        <w:rPr>
          <w:rFonts w:ascii="Times New Roman" w:hAnsi="Times New Roman" w:cs="Times New Roman" w:hint="eastAsia"/>
          <w:bCs/>
        </w:rPr>
        <w:t>及</w:t>
      </w:r>
      <w:proofErr w:type="gramStart"/>
      <w:r>
        <w:rPr>
          <w:rFonts w:ascii="Times New Roman" w:hAnsi="Times New Roman" w:cs="Times New Roman" w:hint="eastAsia"/>
          <w:bCs/>
        </w:rPr>
        <w:t>海保署</w:t>
      </w:r>
      <w:proofErr w:type="gramEnd"/>
      <w:r>
        <w:rPr>
          <w:rFonts w:ascii="Times New Roman" w:hAnsi="Times New Roman" w:cs="Times New Roman" w:hint="eastAsia"/>
          <w:bCs/>
        </w:rPr>
        <w:t>主辦的</w:t>
      </w:r>
      <w:r w:rsidRPr="002460C7">
        <w:rPr>
          <w:rFonts w:asciiTheme="minorEastAsia" w:eastAsiaTheme="minorEastAsia" w:hAnsiTheme="minorEastAsia"/>
        </w:rPr>
        <w:t>國際海事組織(IMO)第三階(level3)</w:t>
      </w:r>
      <w:r>
        <w:rPr>
          <w:rFonts w:asciiTheme="minorEastAsia" w:eastAsiaTheme="minorEastAsia" w:hAnsiTheme="minorEastAsia"/>
        </w:rPr>
        <w:t>海洋溢油污染管理</w:t>
      </w:r>
      <w:r w:rsidRPr="002460C7">
        <w:rPr>
          <w:rFonts w:asciiTheme="minorEastAsia" w:eastAsiaTheme="minorEastAsia" w:hAnsiTheme="minorEastAsia"/>
        </w:rPr>
        <w:t>及海運化學品危險與有害物質洩漏管理訓練課程</w:t>
      </w:r>
      <w:r>
        <w:rPr>
          <w:rFonts w:asciiTheme="minorEastAsia" w:eastAsiaTheme="minorEastAsia" w:hAnsiTheme="minorEastAsia" w:hint="eastAsia"/>
        </w:rPr>
        <w:t>，</w:t>
      </w:r>
      <w:r w:rsidR="00FD71FE">
        <w:rPr>
          <w:rFonts w:asciiTheme="minorEastAsia" w:eastAsiaTheme="minorEastAsia" w:hAnsiTheme="minorEastAsia" w:hint="eastAsia"/>
        </w:rPr>
        <w:t>能夠進一步了解到國際間對於海洋溢油污染及</w:t>
      </w:r>
      <w:r w:rsidR="00FD71FE" w:rsidRPr="002460C7">
        <w:rPr>
          <w:rFonts w:asciiTheme="minorEastAsia" w:eastAsiaTheme="minorEastAsia" w:hAnsiTheme="minorEastAsia"/>
        </w:rPr>
        <w:t>海運化學品危險與有害物質洩漏</w:t>
      </w:r>
      <w:r w:rsidR="00FD71FE">
        <w:rPr>
          <w:rFonts w:asciiTheme="minorEastAsia" w:eastAsiaTheme="minorEastAsia" w:hAnsiTheme="minorEastAsia" w:hint="eastAsia"/>
        </w:rPr>
        <w:t>最新的應對策略與管理方法。</w:t>
      </w:r>
    </w:p>
    <w:p w14:paraId="5CE6E8F5" w14:textId="036A36F4" w:rsidR="005C5C22" w:rsidRPr="00811AD4" w:rsidRDefault="00FD71FE" w:rsidP="00811AD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320" w:lineRule="exact"/>
        <w:ind w:leftChars="0"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這次的代訓機構是位於法國</w:t>
      </w:r>
      <w:r w:rsidR="00510227" w:rsidRPr="00510227">
        <w:rPr>
          <w:rFonts w:ascii="Times New Roman" w:hAnsi="Times New Roman" w:cs="Times New Roman" w:hint="eastAsia"/>
          <w:bCs/>
        </w:rPr>
        <w:t>布雷斯特</w:t>
      </w:r>
      <w:r>
        <w:rPr>
          <w:rFonts w:ascii="Times New Roman" w:hAnsi="Times New Roman" w:cs="Times New Roman" w:hint="eastAsia"/>
          <w:bCs/>
        </w:rPr>
        <w:t>的</w:t>
      </w:r>
      <w:r w:rsidR="00510227" w:rsidRPr="00510227">
        <w:rPr>
          <w:rFonts w:ascii="Times New Roman" w:hAnsi="Times New Roman" w:cs="Times New Roman" w:hint="eastAsia"/>
          <w:bCs/>
        </w:rPr>
        <w:t>水域意外污染事故調查研究中心（</w:t>
      </w:r>
      <w:r w:rsidR="00510227" w:rsidRPr="00510227">
        <w:rPr>
          <w:rFonts w:ascii="Times New Roman" w:hAnsi="Times New Roman" w:cs="Times New Roman" w:hint="eastAsia"/>
          <w:bCs/>
        </w:rPr>
        <w:t xml:space="preserve">Centre of Documentation, Research and Experimentation on Accidental Water Pollution, </w:t>
      </w:r>
      <w:proofErr w:type="spellStart"/>
      <w:r w:rsidR="00510227" w:rsidRPr="00510227">
        <w:rPr>
          <w:rFonts w:ascii="Times New Roman" w:hAnsi="Times New Roman" w:cs="Times New Roman" w:hint="eastAsia"/>
          <w:bCs/>
        </w:rPr>
        <w:t>Cedre</w:t>
      </w:r>
      <w:proofErr w:type="spellEnd"/>
      <w:r>
        <w:rPr>
          <w:rFonts w:ascii="Times New Roman" w:hAnsi="Times New Roman" w:cs="Times New Roman" w:hint="eastAsia"/>
          <w:bCs/>
        </w:rPr>
        <w:t>）</w:t>
      </w:r>
      <w:r w:rsidR="00510227" w:rsidRPr="00510227"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</w:rPr>
        <w:t>是一個政府及民間</w:t>
      </w:r>
      <w:r w:rsidR="00AB6817">
        <w:rPr>
          <w:rFonts w:ascii="Times New Roman" w:hAnsi="Times New Roman" w:cs="Times New Roman" w:hint="eastAsia"/>
          <w:bCs/>
        </w:rPr>
        <w:t>共同</w:t>
      </w:r>
      <w:r>
        <w:rPr>
          <w:rFonts w:ascii="Times New Roman" w:hAnsi="Times New Roman" w:cs="Times New Roman" w:hint="eastAsia"/>
          <w:bCs/>
        </w:rPr>
        <w:t>出資成立的</w:t>
      </w:r>
      <w:r w:rsidR="00EF2508">
        <w:rPr>
          <w:rFonts w:ascii="Times New Roman" w:hAnsi="Times New Roman" w:cs="Times New Roman" w:hint="eastAsia"/>
          <w:bCs/>
        </w:rPr>
        <w:t>組織</w:t>
      </w:r>
      <w:r>
        <w:rPr>
          <w:rFonts w:ascii="Times New Roman" w:hAnsi="Times New Roman" w:cs="Times New Roman" w:hint="eastAsia"/>
          <w:bCs/>
        </w:rPr>
        <w:t>，從各項污染物</w:t>
      </w:r>
      <w:r>
        <w:rPr>
          <w:rFonts w:ascii="Times New Roman" w:hAnsi="Times New Roman" w:cs="Times New Roman" w:hint="eastAsia"/>
          <w:bCs/>
        </w:rPr>
        <w:lastRenderedPageBreak/>
        <w:t>質的物化特性</w:t>
      </w:r>
      <w:proofErr w:type="gramStart"/>
      <w:r>
        <w:rPr>
          <w:rFonts w:ascii="Times New Roman" w:hAnsi="Times New Roman" w:cs="Times New Roman" w:hint="eastAsia"/>
          <w:bCs/>
        </w:rPr>
        <w:t>研</w:t>
      </w:r>
      <w:proofErr w:type="gramEnd"/>
      <w:r>
        <w:rPr>
          <w:rFonts w:ascii="Times New Roman" w:hAnsi="Times New Roman" w:cs="Times New Roman" w:hint="eastAsia"/>
          <w:bCs/>
        </w:rPr>
        <w:t>析、除污設備器材效能評估、應變策略規劃分析到應變人員專業訓練等都</w:t>
      </w:r>
      <w:r w:rsidR="009665E4">
        <w:rPr>
          <w:rFonts w:ascii="Times New Roman" w:hAnsi="Times New Roman" w:cs="Times New Roman" w:hint="eastAsia"/>
          <w:bCs/>
        </w:rPr>
        <w:t>是其專業負責領域，成員包含化學、生物學</w:t>
      </w:r>
      <w:r w:rsidR="00AB6817">
        <w:rPr>
          <w:rFonts w:ascii="Times New Roman" w:hAnsi="Times New Roman" w:cs="Times New Roman" w:hint="eastAsia"/>
          <w:bCs/>
        </w:rPr>
        <w:t>、</w:t>
      </w:r>
      <w:r w:rsidR="00D0623D">
        <w:rPr>
          <w:rFonts w:ascii="Times New Roman" w:hAnsi="Times New Roman" w:cs="Times New Roman" w:hint="eastAsia"/>
          <w:bCs/>
        </w:rPr>
        <w:t>氣象學、</w:t>
      </w:r>
      <w:r w:rsidR="00AB6817">
        <w:rPr>
          <w:rFonts w:ascii="Times New Roman" w:hAnsi="Times New Roman" w:cs="Times New Roman" w:hint="eastAsia"/>
          <w:bCs/>
        </w:rPr>
        <w:t>地球科學</w:t>
      </w:r>
      <w:r w:rsidR="009665E4">
        <w:rPr>
          <w:rFonts w:ascii="Times New Roman" w:hAnsi="Times New Roman" w:cs="Times New Roman" w:hint="eastAsia"/>
          <w:bCs/>
        </w:rPr>
        <w:t>及海洋科學等專家學者，可以算是歐洲首屈一指</w:t>
      </w:r>
      <w:proofErr w:type="gramStart"/>
      <w:r w:rsidR="009665E4">
        <w:rPr>
          <w:rFonts w:ascii="Times New Roman" w:hAnsi="Times New Roman" w:cs="Times New Roman" w:hint="eastAsia"/>
          <w:bCs/>
        </w:rPr>
        <w:t>的海污應變</w:t>
      </w:r>
      <w:proofErr w:type="gramEnd"/>
      <w:r w:rsidR="009665E4">
        <w:rPr>
          <w:rFonts w:ascii="Times New Roman" w:hAnsi="Times New Roman" w:cs="Times New Roman" w:hint="eastAsia"/>
          <w:bCs/>
        </w:rPr>
        <w:t>調查研究機構。整體的課程規劃相當緊湊且用心，以法國的應變策略模式為範例，讓學員能從事故前的準備、事發中的應對到事件後的善後，都能有系統</w:t>
      </w:r>
      <w:r w:rsidR="00AB6817">
        <w:rPr>
          <w:rFonts w:ascii="Times New Roman" w:hAnsi="Times New Roman" w:cs="Times New Roman" w:hint="eastAsia"/>
          <w:bCs/>
        </w:rPr>
        <w:t>的學習</w:t>
      </w:r>
      <w:r w:rsidR="009240C5">
        <w:rPr>
          <w:rFonts w:ascii="Times New Roman" w:hAnsi="Times New Roman" w:cs="Times New Roman" w:hint="eastAsia"/>
          <w:bCs/>
        </w:rPr>
        <w:t>。</w:t>
      </w:r>
      <w:r w:rsidR="00AB6817">
        <w:rPr>
          <w:rFonts w:ascii="Times New Roman" w:hAnsi="Times New Roman" w:cs="Times New Roman" w:hint="eastAsia"/>
          <w:bCs/>
        </w:rPr>
        <w:t>老師們透過分享與討論的互動教學方法，讓雙方能夠充分交流兩</w:t>
      </w:r>
      <w:proofErr w:type="gramStart"/>
      <w:r w:rsidR="00AB6817">
        <w:rPr>
          <w:rFonts w:ascii="Times New Roman" w:hAnsi="Times New Roman" w:cs="Times New Roman" w:hint="eastAsia"/>
          <w:bCs/>
        </w:rPr>
        <w:t>國間的處理</w:t>
      </w:r>
      <w:proofErr w:type="gramEnd"/>
      <w:r w:rsidR="00AB6817">
        <w:rPr>
          <w:rFonts w:ascii="Times New Roman" w:hAnsi="Times New Roman" w:cs="Times New Roman" w:hint="eastAsia"/>
          <w:bCs/>
        </w:rPr>
        <w:t>經驗，達到教學相長，而我們也能夠即時思考如何應用與改善於台灣的處理</w:t>
      </w:r>
      <w:r w:rsidR="003C1784">
        <w:rPr>
          <w:rFonts w:ascii="Times New Roman" w:hAnsi="Times New Roman" w:cs="Times New Roman" w:hint="eastAsia"/>
          <w:bCs/>
        </w:rPr>
        <w:t>模式，以下是幾點學習心得與建議：</w:t>
      </w:r>
    </w:p>
    <w:p w14:paraId="6A6539C0" w14:textId="7AEF1424" w:rsidR="00544FC1" w:rsidRDefault="00D91EEA" w:rsidP="00D91EEA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ascii="Times New Roman" w:hAnsi="Times New Roman" w:cs="Times New Roman"/>
          <w:bCs/>
        </w:rPr>
      </w:pPr>
      <w:r w:rsidRPr="00D91EEA">
        <w:rPr>
          <w:rFonts w:ascii="Times New Roman" w:hAnsi="Times New Roman" w:cs="Times New Roman" w:hint="eastAsia"/>
          <w:b/>
          <w:bCs/>
        </w:rPr>
        <w:t>兩岸簽訂合作</w:t>
      </w:r>
      <w:r>
        <w:rPr>
          <w:rFonts w:ascii="Times New Roman" w:hAnsi="Times New Roman" w:cs="Times New Roman" w:hint="eastAsia"/>
          <w:b/>
          <w:bCs/>
        </w:rPr>
        <w:t>協議</w:t>
      </w:r>
      <w:r w:rsidRPr="00D91EEA">
        <w:rPr>
          <w:rFonts w:ascii="Times New Roman" w:hAnsi="Times New Roman" w:cs="Times New Roman" w:hint="eastAsia"/>
          <w:b/>
          <w:bCs/>
        </w:rPr>
        <w:t>：</w:t>
      </w:r>
      <w:r w:rsidR="003C1784">
        <w:rPr>
          <w:rFonts w:ascii="Times New Roman" w:hAnsi="Times New Roman" w:cs="Times New Roman" w:hint="eastAsia"/>
          <w:bCs/>
        </w:rPr>
        <w:t>金馬地區之地理位置特殊，與台灣</w:t>
      </w:r>
      <w:proofErr w:type="gramStart"/>
      <w:r w:rsidR="00E160B9">
        <w:rPr>
          <w:rFonts w:ascii="Times New Roman" w:hAnsi="Times New Roman" w:cs="Times New Roman" w:hint="eastAsia"/>
          <w:bCs/>
        </w:rPr>
        <w:t>本島</w:t>
      </w:r>
      <w:r w:rsidR="003C1784">
        <w:rPr>
          <w:rFonts w:ascii="Times New Roman" w:hAnsi="Times New Roman" w:cs="Times New Roman" w:hint="eastAsia"/>
          <w:bCs/>
        </w:rPr>
        <w:t>相隔台灣海峽</w:t>
      </w:r>
      <w:proofErr w:type="gramEnd"/>
      <w:r w:rsidR="003C1784">
        <w:rPr>
          <w:rFonts w:ascii="Times New Roman" w:hAnsi="Times New Roman" w:cs="Times New Roman" w:hint="eastAsia"/>
          <w:bCs/>
        </w:rPr>
        <w:t>，卻與大陸地區相當接近</w:t>
      </w:r>
      <w:r w:rsidR="00544FC1">
        <w:rPr>
          <w:rFonts w:ascii="Times New Roman" w:hAnsi="Times New Roman" w:cs="Times New Roman" w:hint="eastAsia"/>
          <w:bCs/>
        </w:rPr>
        <w:t>。</w:t>
      </w:r>
      <w:r w:rsidR="003C1784">
        <w:rPr>
          <w:rFonts w:ascii="Times New Roman" w:hAnsi="Times New Roman" w:cs="Times New Roman" w:hint="eastAsia"/>
          <w:bCs/>
        </w:rPr>
        <w:t>可以借鏡法國位於世界各地海外領地模式，由兩岸地區之地方政府</w:t>
      </w:r>
      <w:r w:rsidR="00553F5C">
        <w:rPr>
          <w:rFonts w:ascii="Times New Roman" w:hAnsi="Times New Roman" w:cs="Times New Roman" w:hint="eastAsia"/>
          <w:bCs/>
        </w:rPr>
        <w:t>以維護共同海域生態為最高目標，</w:t>
      </w:r>
      <w:r w:rsidR="003C1784">
        <w:rPr>
          <w:rFonts w:ascii="Times New Roman" w:hAnsi="Times New Roman" w:cs="Times New Roman" w:hint="eastAsia"/>
          <w:bCs/>
        </w:rPr>
        <w:t>簽訂合作</w:t>
      </w:r>
      <w:r>
        <w:rPr>
          <w:rFonts w:ascii="Times New Roman" w:hAnsi="Times New Roman" w:cs="Times New Roman" w:hint="eastAsia"/>
          <w:bCs/>
        </w:rPr>
        <w:t>協議</w:t>
      </w:r>
      <w:r w:rsidR="003C1784">
        <w:rPr>
          <w:rFonts w:ascii="Times New Roman" w:hAnsi="Times New Roman" w:cs="Times New Roman" w:hint="eastAsia"/>
          <w:bCs/>
        </w:rPr>
        <w:t>，</w:t>
      </w:r>
      <w:r w:rsidR="00553F5C">
        <w:rPr>
          <w:rFonts w:ascii="Times New Roman" w:hAnsi="Times New Roman" w:cs="Times New Roman" w:hint="eastAsia"/>
          <w:bCs/>
        </w:rPr>
        <w:t>一起</w:t>
      </w:r>
      <w:r w:rsidR="00E160B9">
        <w:rPr>
          <w:rFonts w:ascii="Times New Roman" w:hAnsi="Times New Roman" w:cs="Times New Roman" w:hint="eastAsia"/>
          <w:bCs/>
        </w:rPr>
        <w:t>即時</w:t>
      </w:r>
      <w:r w:rsidR="003C1784">
        <w:rPr>
          <w:rFonts w:ascii="Times New Roman" w:hAnsi="Times New Roman" w:cs="Times New Roman" w:hint="eastAsia"/>
          <w:bCs/>
        </w:rPr>
        <w:t>應對</w:t>
      </w:r>
      <w:r w:rsidR="00553F5C">
        <w:rPr>
          <w:rFonts w:ascii="Times New Roman" w:hAnsi="Times New Roman" w:cs="Times New Roman" w:hint="eastAsia"/>
          <w:bCs/>
        </w:rPr>
        <w:t>周邊共同海域之污染事故，</w:t>
      </w:r>
      <w:r w:rsidR="00E160B9">
        <w:rPr>
          <w:rFonts w:ascii="Times New Roman" w:hAnsi="Times New Roman" w:cs="Times New Roman" w:hint="eastAsia"/>
          <w:bCs/>
        </w:rPr>
        <w:t>相互支援</w:t>
      </w:r>
      <w:r w:rsidR="00553F5C">
        <w:rPr>
          <w:rFonts w:ascii="Times New Roman" w:hAnsi="Times New Roman" w:cs="Times New Roman" w:hint="eastAsia"/>
          <w:bCs/>
        </w:rPr>
        <w:t>應變技術</w:t>
      </w:r>
      <w:r w:rsidR="00E160B9">
        <w:rPr>
          <w:rFonts w:ascii="Times New Roman" w:hAnsi="Times New Roman" w:cs="Times New Roman" w:hint="eastAsia"/>
          <w:bCs/>
        </w:rPr>
        <w:t>、</w:t>
      </w:r>
      <w:r w:rsidR="00553F5C">
        <w:rPr>
          <w:rFonts w:ascii="Times New Roman" w:hAnsi="Times New Roman" w:cs="Times New Roman" w:hint="eastAsia"/>
          <w:bCs/>
        </w:rPr>
        <w:t>設備</w:t>
      </w:r>
      <w:r w:rsidR="00E160B9">
        <w:rPr>
          <w:rFonts w:ascii="Times New Roman" w:hAnsi="Times New Roman" w:cs="Times New Roman" w:hint="eastAsia"/>
          <w:bCs/>
        </w:rPr>
        <w:t>與人力</w:t>
      </w:r>
      <w:r w:rsidR="00553F5C">
        <w:rPr>
          <w:rFonts w:ascii="Times New Roman" w:hAnsi="Times New Roman" w:cs="Times New Roman" w:hint="eastAsia"/>
          <w:bCs/>
        </w:rPr>
        <w:t>。</w:t>
      </w:r>
    </w:p>
    <w:p w14:paraId="543495A3" w14:textId="4E2F3654" w:rsidR="00E160B9" w:rsidRPr="00EF2508" w:rsidRDefault="00D91EEA" w:rsidP="00D91EEA">
      <w:pPr>
        <w:pStyle w:val="a3"/>
        <w:numPr>
          <w:ilvl w:val="0"/>
          <w:numId w:val="14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ascii="Times New Roman" w:hAnsi="Times New Roman" w:cs="Times New Roman"/>
          <w:bCs/>
        </w:rPr>
      </w:pPr>
      <w:r w:rsidRPr="00D91EEA">
        <w:rPr>
          <w:rFonts w:ascii="Times New Roman" w:hAnsi="Times New Roman" w:cs="Times New Roman" w:hint="eastAsia"/>
          <w:b/>
          <w:bCs/>
        </w:rPr>
        <w:t>成立水域意外污染事故調查研究專責機構：</w:t>
      </w:r>
      <w:r w:rsidR="00553F5C">
        <w:rPr>
          <w:rFonts w:ascii="Times New Roman" w:hAnsi="Times New Roman" w:cs="Times New Roman" w:hint="eastAsia"/>
          <w:bCs/>
        </w:rPr>
        <w:t>台灣為海島國家，</w:t>
      </w:r>
      <w:r w:rsidR="00D22786">
        <w:rPr>
          <w:rFonts w:ascii="Times New Roman" w:hAnsi="Times New Roman" w:cs="Times New Roman" w:hint="eastAsia"/>
          <w:bCs/>
        </w:rPr>
        <w:t>維護海洋資源對於我國相當重要，而</w:t>
      </w:r>
      <w:r w:rsidR="00553F5C">
        <w:rPr>
          <w:rFonts w:ascii="Times New Roman" w:hAnsi="Times New Roman" w:cs="Times New Roman" w:hint="eastAsia"/>
          <w:bCs/>
        </w:rPr>
        <w:t>水域事故與污染事件發生是難以避免，應該更加</w:t>
      </w:r>
      <w:r w:rsidR="00D22786">
        <w:rPr>
          <w:rFonts w:ascii="Times New Roman" w:hAnsi="Times New Roman" w:cs="Times New Roman" w:hint="eastAsia"/>
          <w:bCs/>
        </w:rPr>
        <w:t>重視這項業務，</w:t>
      </w:r>
      <w:r w:rsidR="00553F5C">
        <w:rPr>
          <w:rFonts w:ascii="Times New Roman" w:hAnsi="Times New Roman" w:cs="Times New Roman" w:hint="eastAsia"/>
          <w:bCs/>
        </w:rPr>
        <w:t>積極且充分做好</w:t>
      </w:r>
      <w:r w:rsidR="00553F5C" w:rsidRPr="00553F5C">
        <w:rPr>
          <w:rFonts w:cs="Arial"/>
          <w:shd w:val="clear" w:color="auto" w:fill="FFFFFF"/>
        </w:rPr>
        <w:t>「</w:t>
      </w:r>
      <w:proofErr w:type="gramStart"/>
      <w:r w:rsidR="00553F5C" w:rsidRPr="00553F5C">
        <w:rPr>
          <w:rFonts w:cs="Arial"/>
          <w:shd w:val="clear" w:color="auto" w:fill="FFFFFF"/>
        </w:rPr>
        <w:t>勿恃</w:t>
      </w:r>
      <w:r w:rsidR="00553F5C" w:rsidRPr="00553F5C">
        <w:rPr>
          <w:rStyle w:val="a9"/>
          <w:rFonts w:cs="Arial"/>
          <w:i w:val="0"/>
          <w:iCs w:val="0"/>
          <w:shd w:val="clear" w:color="auto" w:fill="FFFFFF"/>
        </w:rPr>
        <w:t>敵</w:t>
      </w:r>
      <w:proofErr w:type="gramEnd"/>
      <w:r w:rsidR="00553F5C" w:rsidRPr="00553F5C">
        <w:rPr>
          <w:rStyle w:val="a9"/>
          <w:rFonts w:cs="Arial"/>
          <w:i w:val="0"/>
          <w:iCs w:val="0"/>
          <w:shd w:val="clear" w:color="auto" w:fill="FFFFFF"/>
        </w:rPr>
        <w:t>之不來</w:t>
      </w:r>
      <w:r w:rsidR="00553F5C" w:rsidRPr="00553F5C">
        <w:rPr>
          <w:rFonts w:cs="Arial"/>
          <w:shd w:val="clear" w:color="auto" w:fill="FFFFFF"/>
        </w:rPr>
        <w:t>，恃吾有以待之」</w:t>
      </w:r>
      <w:r w:rsidR="00553F5C">
        <w:rPr>
          <w:rFonts w:cs="Arial" w:hint="eastAsia"/>
          <w:shd w:val="clear" w:color="auto" w:fill="FFFFFF"/>
        </w:rPr>
        <w:t>的準備</w:t>
      </w:r>
      <w:r w:rsidR="00553F5C">
        <w:rPr>
          <w:rFonts w:ascii="Times New Roman" w:hAnsi="Times New Roman" w:cs="Times New Roman" w:hint="eastAsia"/>
          <w:bCs/>
        </w:rPr>
        <w:t>，可以參考法國成立</w:t>
      </w:r>
      <w:r w:rsidR="00553F5C" w:rsidRPr="00510227">
        <w:rPr>
          <w:rFonts w:ascii="Times New Roman" w:hAnsi="Times New Roman" w:cs="Times New Roman" w:hint="eastAsia"/>
          <w:bCs/>
        </w:rPr>
        <w:t>水域意外污染事故調查研究中心（</w:t>
      </w:r>
      <w:r w:rsidR="00553F5C" w:rsidRPr="00510227">
        <w:rPr>
          <w:rFonts w:ascii="Times New Roman" w:hAnsi="Times New Roman" w:cs="Times New Roman" w:hint="eastAsia"/>
          <w:bCs/>
        </w:rPr>
        <w:t xml:space="preserve">Centre of Documentation, Research and Experimentation on Accidental Water Pollution, </w:t>
      </w:r>
      <w:proofErr w:type="spellStart"/>
      <w:r w:rsidR="00553F5C" w:rsidRPr="00510227">
        <w:rPr>
          <w:rFonts w:ascii="Times New Roman" w:hAnsi="Times New Roman" w:cs="Times New Roman" w:hint="eastAsia"/>
          <w:bCs/>
        </w:rPr>
        <w:t>Cedre</w:t>
      </w:r>
      <w:proofErr w:type="spellEnd"/>
      <w:r w:rsidR="00553F5C">
        <w:rPr>
          <w:rFonts w:ascii="Times New Roman" w:hAnsi="Times New Roman" w:cs="Times New Roman" w:hint="eastAsia"/>
          <w:bCs/>
        </w:rPr>
        <w:t>）的模式，成立專責機構，</w:t>
      </w:r>
      <w:r w:rsidR="00D22786">
        <w:rPr>
          <w:rFonts w:ascii="Times New Roman" w:hAnsi="Times New Roman" w:cs="Times New Roman" w:hint="eastAsia"/>
          <w:bCs/>
        </w:rPr>
        <w:t>能夠</w:t>
      </w:r>
      <w:r w:rsidR="00553F5C">
        <w:rPr>
          <w:rFonts w:ascii="Times New Roman" w:hAnsi="Times New Roman" w:cs="Times New Roman" w:hint="eastAsia"/>
          <w:bCs/>
        </w:rPr>
        <w:t>從化學品</w:t>
      </w:r>
      <w:proofErr w:type="gramStart"/>
      <w:r w:rsidR="00553F5C">
        <w:rPr>
          <w:rFonts w:ascii="Times New Roman" w:hAnsi="Times New Roman" w:cs="Times New Roman" w:hint="eastAsia"/>
          <w:bCs/>
        </w:rPr>
        <w:t>研</w:t>
      </w:r>
      <w:proofErr w:type="gramEnd"/>
      <w:r w:rsidR="00553F5C">
        <w:rPr>
          <w:rFonts w:ascii="Times New Roman" w:hAnsi="Times New Roman" w:cs="Times New Roman" w:hint="eastAsia"/>
          <w:bCs/>
        </w:rPr>
        <w:t>析、除污設備器材效能評估檢驗</w:t>
      </w:r>
      <w:r w:rsidR="00DD22E1">
        <w:rPr>
          <w:rFonts w:ascii="Times New Roman" w:hAnsi="Times New Roman" w:cs="Times New Roman" w:hint="eastAsia"/>
          <w:bCs/>
        </w:rPr>
        <w:t>、</w:t>
      </w:r>
      <w:r w:rsidR="00662471">
        <w:rPr>
          <w:rFonts w:ascii="Times New Roman" w:hAnsi="Times New Roman" w:cs="Times New Roman" w:hint="eastAsia"/>
          <w:bCs/>
        </w:rPr>
        <w:t>建立相關資料庫和運作機制、</w:t>
      </w:r>
      <w:r w:rsidR="00DD22E1">
        <w:rPr>
          <w:rFonts w:ascii="Times New Roman" w:hAnsi="Times New Roman" w:cs="Times New Roman" w:hint="eastAsia"/>
          <w:bCs/>
        </w:rPr>
        <w:t>提供</w:t>
      </w:r>
      <w:r w:rsidR="00D22786">
        <w:rPr>
          <w:rFonts w:ascii="Times New Roman" w:hAnsi="Times New Roman" w:cs="Times New Roman" w:hint="eastAsia"/>
          <w:bCs/>
        </w:rPr>
        <w:t>符合台灣地區</w:t>
      </w:r>
      <w:r w:rsidR="00D0623D">
        <w:rPr>
          <w:rFonts w:ascii="Times New Roman" w:hAnsi="Times New Roman" w:cs="Times New Roman" w:hint="eastAsia"/>
          <w:bCs/>
        </w:rPr>
        <w:t>海域</w:t>
      </w:r>
      <w:r w:rsidR="00D22786">
        <w:rPr>
          <w:rFonts w:ascii="Times New Roman" w:hAnsi="Times New Roman" w:cs="Times New Roman" w:hint="eastAsia"/>
          <w:bCs/>
        </w:rPr>
        <w:t>的</w:t>
      </w:r>
      <w:r w:rsidR="00DD22E1">
        <w:rPr>
          <w:rFonts w:ascii="Times New Roman" w:hAnsi="Times New Roman" w:cs="Times New Roman" w:hint="eastAsia"/>
          <w:bCs/>
        </w:rPr>
        <w:t>應變策略規劃與專業意見等</w:t>
      </w:r>
      <w:r w:rsidR="00905217">
        <w:rPr>
          <w:rFonts w:ascii="Times New Roman" w:hAnsi="Times New Roman" w:cs="Times New Roman" w:hint="eastAsia"/>
          <w:bCs/>
        </w:rPr>
        <w:t>，</w:t>
      </w:r>
      <w:r w:rsidR="00662471">
        <w:rPr>
          <w:rFonts w:ascii="Times New Roman" w:hAnsi="Times New Roman" w:cs="Times New Roman" w:hint="eastAsia"/>
          <w:bCs/>
        </w:rPr>
        <w:t>並讓更多的專家學者投入海洋污染領域</w:t>
      </w:r>
      <w:r w:rsidR="00905217">
        <w:rPr>
          <w:rFonts w:ascii="Times New Roman" w:hAnsi="Times New Roman" w:cs="Times New Roman" w:hint="eastAsia"/>
          <w:bCs/>
        </w:rPr>
        <w:t>，</w:t>
      </w:r>
      <w:r w:rsidR="00D22786">
        <w:rPr>
          <w:rFonts w:ascii="Times New Roman" w:hAnsi="Times New Roman" w:cs="Times New Roman" w:hint="eastAsia"/>
          <w:bCs/>
        </w:rPr>
        <w:t>甚至以成為西太平洋地區首屈一指的</w:t>
      </w:r>
      <w:r w:rsidR="00D22786" w:rsidRPr="00510227">
        <w:rPr>
          <w:rFonts w:ascii="Times New Roman" w:hAnsi="Times New Roman" w:cs="Times New Roman" w:hint="eastAsia"/>
          <w:bCs/>
        </w:rPr>
        <w:t>水域意外污染事故調查研究</w:t>
      </w:r>
      <w:r w:rsidR="00D22786">
        <w:rPr>
          <w:rFonts w:ascii="Times New Roman" w:hAnsi="Times New Roman" w:cs="Times New Roman" w:hint="eastAsia"/>
          <w:bCs/>
        </w:rPr>
        <w:t>機構為目標。</w:t>
      </w:r>
    </w:p>
    <w:p w14:paraId="0CE9C7BE" w14:textId="48BD317D" w:rsidR="00EF2508" w:rsidRDefault="00EF2508" w:rsidP="00F93C7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320" w:lineRule="exact"/>
        <w:ind w:leftChars="0"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本次參</w:t>
      </w:r>
      <w:proofErr w:type="gramStart"/>
      <w:r>
        <w:rPr>
          <w:rFonts w:ascii="Times New Roman" w:hAnsi="Times New Roman" w:cs="Times New Roman" w:hint="eastAsia"/>
          <w:bCs/>
        </w:rPr>
        <w:t>訓</w:t>
      </w:r>
      <w:proofErr w:type="gramEnd"/>
      <w:r>
        <w:rPr>
          <w:rFonts w:ascii="Times New Roman" w:hAnsi="Times New Roman" w:cs="Times New Roman" w:hint="eastAsia"/>
          <w:bCs/>
        </w:rPr>
        <w:t>雖然以完成課程</w:t>
      </w:r>
      <w:r w:rsidR="005C2B61">
        <w:rPr>
          <w:rFonts w:ascii="Times New Roman" w:hAnsi="Times New Roman" w:cs="Times New Roman" w:hint="eastAsia"/>
          <w:bCs/>
        </w:rPr>
        <w:t>並</w:t>
      </w:r>
      <w:r>
        <w:rPr>
          <w:rFonts w:ascii="Times New Roman" w:hAnsi="Times New Roman" w:cs="Times New Roman" w:hint="eastAsia"/>
          <w:bCs/>
        </w:rPr>
        <w:t>取得</w:t>
      </w:r>
      <w:r w:rsidR="005C2B61">
        <w:rPr>
          <w:rFonts w:ascii="Times New Roman" w:hAnsi="Times New Roman" w:cs="Times New Roman" w:hint="eastAsia"/>
          <w:bCs/>
        </w:rPr>
        <w:t>2</w:t>
      </w:r>
      <w:r w:rsidR="005C2B61">
        <w:rPr>
          <w:rFonts w:ascii="Times New Roman" w:hAnsi="Times New Roman" w:cs="Times New Roman" w:hint="eastAsia"/>
          <w:bCs/>
        </w:rPr>
        <w:t>項</w:t>
      </w:r>
      <w:r>
        <w:rPr>
          <w:rFonts w:ascii="Times New Roman" w:hAnsi="Times New Roman" w:cs="Times New Roman" w:hint="eastAsia"/>
          <w:bCs/>
        </w:rPr>
        <w:t>結訓證書為主，也利用</w:t>
      </w:r>
      <w:r w:rsidR="005C2B61">
        <w:rPr>
          <w:rFonts w:ascii="Times New Roman" w:hAnsi="Times New Roman" w:cs="Times New Roman" w:hint="eastAsia"/>
          <w:bCs/>
        </w:rPr>
        <w:t>有限的</w:t>
      </w:r>
      <w:r>
        <w:rPr>
          <w:rFonts w:ascii="Times New Roman" w:hAnsi="Times New Roman" w:cs="Times New Roman" w:hint="eastAsia"/>
          <w:bCs/>
        </w:rPr>
        <w:t>課餘時間進一步了解法國當地的風俗民情及</w:t>
      </w:r>
      <w:r w:rsidR="005C2B61">
        <w:rPr>
          <w:rFonts w:ascii="Times New Roman" w:hAnsi="Times New Roman" w:cs="Times New Roman" w:hint="eastAsia"/>
          <w:bCs/>
        </w:rPr>
        <w:t>法令</w:t>
      </w:r>
      <w:r>
        <w:rPr>
          <w:rFonts w:ascii="Times New Roman" w:hAnsi="Times New Roman" w:cs="Times New Roman" w:hint="eastAsia"/>
          <w:bCs/>
        </w:rPr>
        <w:t>制度，以下是幾點心得與想法：</w:t>
      </w:r>
    </w:p>
    <w:p w14:paraId="421AE088" w14:textId="03DEB17D" w:rsidR="00D91EEA" w:rsidRDefault="00D91EEA" w:rsidP="00C42A1C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ascii="Times New Roman" w:hAnsi="Times New Roman" w:cs="Times New Roman"/>
          <w:bCs/>
        </w:rPr>
      </w:pPr>
      <w:r w:rsidRPr="00D91EEA">
        <w:rPr>
          <w:rFonts w:ascii="Times New Roman" w:hAnsi="Times New Roman" w:cs="Times New Roman" w:hint="eastAsia"/>
          <w:b/>
          <w:bCs/>
        </w:rPr>
        <w:t>行人優先的觀念：</w:t>
      </w:r>
      <w:r w:rsidR="00EF2508">
        <w:rPr>
          <w:rFonts w:ascii="Times New Roman" w:hAnsi="Times New Roman" w:cs="Times New Roman" w:hint="eastAsia"/>
          <w:bCs/>
        </w:rPr>
        <w:t>布雷斯特</w:t>
      </w:r>
      <w:r w:rsidR="00D0623D">
        <w:rPr>
          <w:rFonts w:ascii="Times New Roman" w:hAnsi="Times New Roman" w:cs="Times New Roman" w:hint="eastAsia"/>
          <w:bCs/>
        </w:rPr>
        <w:t>為臨海城鎮，不像大城市</w:t>
      </w:r>
      <w:r w:rsidR="00EF2508">
        <w:rPr>
          <w:rFonts w:ascii="Times New Roman" w:hAnsi="Times New Roman" w:cs="Times New Roman" w:hint="eastAsia"/>
          <w:bCs/>
        </w:rPr>
        <w:t>，民風較為純樸，多數</w:t>
      </w:r>
      <w:r w:rsidR="00D0623D">
        <w:rPr>
          <w:rFonts w:ascii="Times New Roman" w:hAnsi="Times New Roman" w:cs="Times New Roman" w:hint="eastAsia"/>
          <w:bCs/>
        </w:rPr>
        <w:t>駕駛</w:t>
      </w:r>
      <w:r w:rsidR="00EF2508">
        <w:rPr>
          <w:rFonts w:ascii="Times New Roman" w:hAnsi="Times New Roman" w:cs="Times New Roman" w:hint="eastAsia"/>
          <w:bCs/>
        </w:rPr>
        <w:t>都有行人優先的</w:t>
      </w:r>
      <w:r>
        <w:rPr>
          <w:rFonts w:ascii="Times New Roman" w:hAnsi="Times New Roman" w:cs="Times New Roman" w:hint="eastAsia"/>
          <w:bCs/>
        </w:rPr>
        <w:t>觀</w:t>
      </w:r>
      <w:r w:rsidR="00EF2508">
        <w:rPr>
          <w:rFonts w:ascii="Times New Roman" w:hAnsi="Times New Roman" w:cs="Times New Roman" w:hint="eastAsia"/>
          <w:bCs/>
        </w:rPr>
        <w:t>念，即使不是在斑馬線區域，</w:t>
      </w:r>
      <w:r>
        <w:rPr>
          <w:rFonts w:ascii="Times New Roman" w:hAnsi="Times New Roman" w:cs="Times New Roman" w:hint="eastAsia"/>
          <w:bCs/>
        </w:rPr>
        <w:t>大部分駕駛</w:t>
      </w:r>
      <w:r w:rsidR="00EF2508">
        <w:rPr>
          <w:rFonts w:ascii="Times New Roman" w:hAnsi="Times New Roman" w:cs="Times New Roman" w:hint="eastAsia"/>
          <w:bCs/>
        </w:rPr>
        <w:t>都會主動停車優先禮讓行人</w:t>
      </w:r>
      <w:r>
        <w:rPr>
          <w:rFonts w:ascii="Times New Roman" w:hAnsi="Times New Roman" w:cs="Times New Roman" w:hint="eastAsia"/>
          <w:bCs/>
        </w:rPr>
        <w:t>，值得我們效法。</w:t>
      </w:r>
    </w:p>
    <w:p w14:paraId="052E810B" w14:textId="66DB8B8B" w:rsidR="00540D25" w:rsidRDefault="00D91EEA" w:rsidP="00C42A1C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ascii="Arial" w:hAnsi="Arial" w:cs="Arial"/>
          <w:shd w:val="clear" w:color="auto" w:fill="FFFFFF"/>
        </w:rPr>
      </w:pPr>
      <w:r w:rsidRPr="00D91EEA">
        <w:rPr>
          <w:rFonts w:ascii="Times New Roman" w:hAnsi="Times New Roman" w:cs="Times New Roman" w:hint="eastAsia"/>
          <w:b/>
          <w:bCs/>
        </w:rPr>
        <w:t>重視生活品質：</w:t>
      </w:r>
      <w:r>
        <w:rPr>
          <w:rFonts w:ascii="Times New Roman" w:hAnsi="Times New Roman" w:cs="Times New Roman" w:hint="eastAsia"/>
          <w:bCs/>
        </w:rPr>
        <w:t>法國人相</w:t>
      </w:r>
      <w:r w:rsidR="00540D25">
        <w:rPr>
          <w:rFonts w:ascii="Times New Roman" w:hAnsi="Times New Roman" w:cs="Times New Roman" w:hint="eastAsia"/>
          <w:bCs/>
        </w:rPr>
        <w:t>當在乎</w:t>
      </w:r>
      <w:r w:rsidRPr="00D91EEA">
        <w:rPr>
          <w:rFonts w:ascii="Arial" w:hAnsi="Arial" w:cs="Arial"/>
          <w:shd w:val="clear" w:color="auto" w:fill="FFFFFF"/>
        </w:rPr>
        <w:t>工作與休息</w:t>
      </w:r>
      <w:r>
        <w:rPr>
          <w:rFonts w:ascii="Arial" w:hAnsi="Arial" w:cs="Arial" w:hint="eastAsia"/>
          <w:shd w:val="clear" w:color="auto" w:fill="FFFFFF"/>
        </w:rPr>
        <w:t>之間的</w:t>
      </w:r>
      <w:r w:rsidRPr="00D91EEA">
        <w:rPr>
          <w:rFonts w:ascii="Arial" w:hAnsi="Arial" w:cs="Arial"/>
          <w:shd w:val="clear" w:color="auto" w:fill="FFFFFF"/>
        </w:rPr>
        <w:t>平衡</w:t>
      </w:r>
      <w:r>
        <w:rPr>
          <w:rFonts w:ascii="Arial" w:hAnsi="Arial" w:cs="Arial" w:hint="eastAsia"/>
          <w:shd w:val="clear" w:color="auto" w:fill="FFFFFF"/>
        </w:rPr>
        <w:t>，</w:t>
      </w:r>
      <w:r w:rsidR="00540D25">
        <w:rPr>
          <w:rFonts w:ascii="Arial" w:hAnsi="Arial" w:cs="Arial" w:hint="eastAsia"/>
          <w:shd w:val="clear" w:color="auto" w:fill="FFFFFF"/>
        </w:rPr>
        <w:t>較重視彼此生活休閒的時間，民眾</w:t>
      </w:r>
      <w:r>
        <w:rPr>
          <w:rFonts w:ascii="Arial" w:hAnsi="Arial" w:cs="Arial" w:hint="eastAsia"/>
          <w:shd w:val="clear" w:color="auto" w:fill="FFFFFF"/>
        </w:rPr>
        <w:t>依照既定的開店及工作時間</w:t>
      </w:r>
      <w:r w:rsidR="00540D25">
        <w:rPr>
          <w:rFonts w:ascii="Arial" w:hAnsi="Arial" w:cs="Arial" w:hint="eastAsia"/>
          <w:shd w:val="clear" w:color="auto" w:fill="FFFFFF"/>
        </w:rPr>
        <w:t>上班</w:t>
      </w:r>
      <w:r>
        <w:rPr>
          <w:rFonts w:ascii="Arial" w:hAnsi="Arial" w:cs="Arial" w:hint="eastAsia"/>
          <w:shd w:val="clear" w:color="auto" w:fill="FFFFFF"/>
        </w:rPr>
        <w:t>，</w:t>
      </w:r>
      <w:r w:rsidR="00540D25">
        <w:rPr>
          <w:rFonts w:ascii="Arial" w:hAnsi="Arial" w:cs="Arial" w:hint="eastAsia"/>
          <w:shd w:val="clear" w:color="auto" w:fill="FFFFFF"/>
        </w:rPr>
        <w:t>甚至在工作中也會有</w:t>
      </w:r>
      <w:r w:rsidR="00540D25">
        <w:rPr>
          <w:rFonts w:ascii="Arial" w:hAnsi="Arial" w:cs="Arial" w:hint="eastAsia"/>
          <w:shd w:val="clear" w:color="auto" w:fill="FFFFFF"/>
        </w:rPr>
        <w:t>tea break</w:t>
      </w:r>
      <w:r w:rsidR="00540D25">
        <w:rPr>
          <w:rFonts w:ascii="Arial" w:hAnsi="Arial" w:cs="Arial" w:hint="eastAsia"/>
          <w:shd w:val="clear" w:color="auto" w:fill="FFFFFF"/>
        </w:rPr>
        <w:t>，下班後也</w:t>
      </w:r>
      <w:r>
        <w:rPr>
          <w:rFonts w:ascii="Arial" w:hAnsi="Arial" w:cs="Arial" w:hint="eastAsia"/>
          <w:shd w:val="clear" w:color="auto" w:fill="FFFFFF"/>
        </w:rPr>
        <w:t>不輕易犧牲生活品質</w:t>
      </w:r>
      <w:r w:rsidR="00540D25">
        <w:rPr>
          <w:rFonts w:ascii="Arial" w:hAnsi="Arial" w:cs="Arial" w:hint="eastAsia"/>
          <w:shd w:val="clear" w:color="auto" w:fill="FFFFFF"/>
        </w:rPr>
        <w:t>來滿足額外工作需求</w:t>
      </w:r>
      <w:r>
        <w:rPr>
          <w:rFonts w:ascii="Arial" w:hAnsi="Arial" w:cs="Arial" w:hint="eastAsia"/>
          <w:shd w:val="clear" w:color="auto" w:fill="FFFFFF"/>
        </w:rPr>
        <w:t>，</w:t>
      </w:r>
      <w:r w:rsidR="00540D25">
        <w:rPr>
          <w:rFonts w:ascii="Arial" w:hAnsi="Arial" w:cs="Arial" w:hint="eastAsia"/>
          <w:shd w:val="clear" w:color="auto" w:fill="FFFFFF"/>
        </w:rPr>
        <w:t>雖然某方面會因此而有一些不方便性</w:t>
      </w:r>
      <w:r w:rsidR="00540D25">
        <w:rPr>
          <w:rFonts w:ascii="Arial" w:hAnsi="Arial" w:cs="Arial" w:hint="eastAsia"/>
          <w:shd w:val="clear" w:color="auto" w:fill="FFFFFF"/>
        </w:rPr>
        <w:t>(</w:t>
      </w:r>
      <w:r w:rsidR="00540D25">
        <w:rPr>
          <w:rFonts w:ascii="Arial" w:hAnsi="Arial" w:cs="Arial" w:hint="eastAsia"/>
          <w:shd w:val="clear" w:color="auto" w:fill="FFFFFF"/>
        </w:rPr>
        <w:t>如：購物或業務接洽等</w:t>
      </w:r>
      <w:r w:rsidR="00540D25">
        <w:rPr>
          <w:rFonts w:ascii="Arial" w:hAnsi="Arial" w:cs="Arial" w:hint="eastAsia"/>
          <w:shd w:val="clear" w:color="auto" w:fill="FFFFFF"/>
        </w:rPr>
        <w:t>)</w:t>
      </w:r>
      <w:r w:rsidR="00540D25">
        <w:rPr>
          <w:rFonts w:ascii="Arial" w:hAnsi="Arial" w:cs="Arial" w:hint="eastAsia"/>
          <w:shd w:val="clear" w:color="auto" w:fill="FFFFFF"/>
        </w:rPr>
        <w:t>，但卻能提升生活品質，有效調劑工作壓力，反而能讓員工</w:t>
      </w:r>
      <w:r w:rsidR="005C2B61">
        <w:rPr>
          <w:rFonts w:ascii="Arial" w:hAnsi="Arial" w:cs="Arial" w:hint="eastAsia"/>
          <w:shd w:val="clear" w:color="auto" w:fill="FFFFFF"/>
        </w:rPr>
        <w:t>擁有</w:t>
      </w:r>
      <w:r w:rsidR="00540D25">
        <w:rPr>
          <w:rFonts w:ascii="Arial" w:hAnsi="Arial" w:cs="Arial" w:hint="eastAsia"/>
          <w:shd w:val="clear" w:color="auto" w:fill="FFFFFF"/>
        </w:rPr>
        <w:t>更健康的身心靈應付工作上的挑戰。</w:t>
      </w:r>
    </w:p>
    <w:p w14:paraId="4237126E" w14:textId="2685F5AB" w:rsidR="00F93C74" w:rsidRPr="00F93C74" w:rsidRDefault="005C2B61" w:rsidP="00C42A1C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 w:line="320" w:lineRule="exact"/>
        <w:ind w:left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/>
          <w:bCs/>
        </w:rPr>
        <w:t>食物健康指標評比：</w:t>
      </w:r>
      <w:r>
        <w:rPr>
          <w:rFonts w:ascii="Times New Roman" w:hAnsi="Times New Roman" w:cs="Times New Roman" w:hint="eastAsia"/>
          <w:bCs/>
        </w:rPr>
        <w:t>多數在法國賣場販售的糖果、餅乾及飲料等食物，都會</w:t>
      </w:r>
      <w:r w:rsidR="00C42A1C">
        <w:rPr>
          <w:rFonts w:ascii="Times New Roman" w:hAnsi="Times New Roman" w:cs="Times New Roman" w:hint="eastAsia"/>
          <w:bCs/>
        </w:rPr>
        <w:t>在包裝上</w:t>
      </w:r>
      <w:r>
        <w:rPr>
          <w:rFonts w:ascii="Times New Roman" w:hAnsi="Times New Roman" w:cs="Times New Roman" w:hint="eastAsia"/>
          <w:bCs/>
        </w:rPr>
        <w:t>有</w:t>
      </w:r>
      <w:r>
        <w:rPr>
          <w:rFonts w:ascii="Times New Roman" w:hAnsi="Times New Roman" w:cs="Times New Roman" w:hint="eastAsia"/>
          <w:bCs/>
        </w:rPr>
        <w:t>A(</w:t>
      </w:r>
      <w:r>
        <w:rPr>
          <w:rFonts w:ascii="Times New Roman" w:hAnsi="Times New Roman" w:cs="Times New Roman" w:hint="eastAsia"/>
          <w:bCs/>
        </w:rPr>
        <w:t>最健康</w:t>
      </w:r>
      <w:r>
        <w:rPr>
          <w:rFonts w:ascii="Times New Roman" w:hAnsi="Times New Roman" w:cs="Times New Roman" w:hint="eastAsia"/>
          <w:bCs/>
        </w:rPr>
        <w:t>)</w:t>
      </w:r>
      <w:r>
        <w:rPr>
          <w:rFonts w:ascii="Times New Roman" w:hAnsi="Times New Roman" w:cs="Times New Roman" w:hint="eastAsia"/>
          <w:bCs/>
        </w:rPr>
        <w:t>到</w:t>
      </w:r>
      <w:r>
        <w:rPr>
          <w:rFonts w:ascii="Times New Roman" w:hAnsi="Times New Roman" w:cs="Times New Roman" w:hint="eastAsia"/>
          <w:bCs/>
        </w:rPr>
        <w:t>E(</w:t>
      </w:r>
      <w:r>
        <w:rPr>
          <w:rFonts w:ascii="Times New Roman" w:hAnsi="Times New Roman" w:cs="Times New Roman" w:hint="eastAsia"/>
          <w:bCs/>
        </w:rPr>
        <w:t>最不健康</w:t>
      </w:r>
      <w:r>
        <w:rPr>
          <w:rFonts w:ascii="Times New Roman" w:hAnsi="Times New Roman" w:cs="Times New Roman" w:hint="eastAsia"/>
          <w:bCs/>
        </w:rPr>
        <w:t>)</w:t>
      </w:r>
      <w:r>
        <w:rPr>
          <w:rFonts w:ascii="Times New Roman" w:hAnsi="Times New Roman" w:cs="Times New Roman" w:hint="eastAsia"/>
          <w:bCs/>
        </w:rPr>
        <w:t>的等級評比，主要是會針對該食物的熱量、含糖量、營養</w:t>
      </w:r>
      <w:r w:rsidR="00662471">
        <w:rPr>
          <w:rFonts w:ascii="Times New Roman" w:hAnsi="Times New Roman" w:cs="Times New Roman" w:hint="eastAsia"/>
          <w:bCs/>
        </w:rPr>
        <w:t>成分與</w:t>
      </w:r>
      <w:r>
        <w:rPr>
          <w:rFonts w:ascii="Times New Roman" w:hAnsi="Times New Roman" w:cs="Times New Roman" w:hint="eastAsia"/>
          <w:bCs/>
        </w:rPr>
        <w:t>價值等給予綜合評比，讓民眾在選購時能依循評比指標，選擇更健康的食品</w:t>
      </w:r>
      <w:r w:rsidR="006124EB">
        <w:rPr>
          <w:rFonts w:ascii="Times New Roman" w:hAnsi="Times New Roman" w:cs="Times New Roman" w:hint="eastAsia"/>
          <w:bCs/>
        </w:rPr>
        <w:t>。</w:t>
      </w:r>
    </w:p>
    <w:p w14:paraId="4099912A" w14:textId="2FCFB95F" w:rsidR="00F93C74" w:rsidRDefault="00C42A1C" w:rsidP="00544FC1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320" w:lineRule="exact"/>
        <w:ind w:leftChars="0"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lastRenderedPageBreak/>
        <w:t>這次參訓的成員來自公部門</w:t>
      </w:r>
      <w:proofErr w:type="gramStart"/>
      <w:r>
        <w:rPr>
          <w:rFonts w:ascii="Times New Roman" w:hAnsi="Times New Roman" w:cs="Times New Roman" w:hint="eastAsia"/>
          <w:bCs/>
        </w:rPr>
        <w:t>的海委會</w:t>
      </w:r>
      <w:proofErr w:type="gramEnd"/>
      <w:r>
        <w:rPr>
          <w:rFonts w:ascii="Times New Roman" w:hAnsi="Times New Roman" w:cs="Times New Roman" w:hint="eastAsia"/>
          <w:bCs/>
        </w:rPr>
        <w:t>、</w:t>
      </w:r>
      <w:proofErr w:type="gramStart"/>
      <w:r>
        <w:rPr>
          <w:rFonts w:ascii="Times New Roman" w:hAnsi="Times New Roman" w:cs="Times New Roman" w:hint="eastAsia"/>
          <w:bCs/>
        </w:rPr>
        <w:t>海保署</w:t>
      </w:r>
      <w:proofErr w:type="gramEnd"/>
      <w:r>
        <w:rPr>
          <w:rFonts w:ascii="Times New Roman" w:hAnsi="Times New Roman" w:cs="Times New Roman" w:hint="eastAsia"/>
          <w:bCs/>
        </w:rPr>
        <w:t>、海巡署、環保署毒化局、海洋國家公園管理處及各地方政府代表，也有私部門的台灣中油股份有限公司、</w:t>
      </w:r>
      <w:r w:rsidRPr="00C42A1C">
        <w:rPr>
          <w:rFonts w:cs="Times New Roman"/>
        </w:rPr>
        <w:t>台塑石化股份有限公司</w:t>
      </w:r>
      <w:r>
        <w:rPr>
          <w:rFonts w:ascii="Times New Roman" w:hAnsi="Times New Roman" w:cs="Times New Roman" w:hint="eastAsia"/>
          <w:bCs/>
        </w:rPr>
        <w:t>、</w:t>
      </w:r>
      <w:proofErr w:type="gramStart"/>
      <w:r w:rsidRPr="00C42A1C">
        <w:rPr>
          <w:rFonts w:cs="Times New Roman"/>
          <w:color w:val="000000"/>
        </w:rPr>
        <w:t>永力海洋</w:t>
      </w:r>
      <w:proofErr w:type="gramEnd"/>
      <w:r w:rsidRPr="00C42A1C">
        <w:rPr>
          <w:rFonts w:cs="Times New Roman"/>
          <w:color w:val="000000"/>
        </w:rPr>
        <w:t>工程有限公司</w:t>
      </w:r>
      <w:r w:rsidRPr="00C42A1C">
        <w:rPr>
          <w:rFonts w:cs="Times New Roman" w:hint="eastAsia"/>
          <w:color w:val="000000"/>
        </w:rPr>
        <w:t>及</w:t>
      </w:r>
      <w:r w:rsidRPr="00C42A1C">
        <w:rPr>
          <w:rFonts w:cs="Times New Roman"/>
        </w:rPr>
        <w:t>中能發電股份有限公司</w:t>
      </w:r>
      <w:r>
        <w:rPr>
          <w:rFonts w:ascii="Times New Roman" w:hAnsi="Times New Roman" w:cs="Times New Roman" w:hint="eastAsia"/>
          <w:bCs/>
        </w:rPr>
        <w:t>等</w:t>
      </w:r>
      <w:r w:rsidR="00D0623D">
        <w:rPr>
          <w:rFonts w:ascii="Times New Roman" w:hAnsi="Times New Roman" w:cs="Times New Roman" w:hint="eastAsia"/>
          <w:bCs/>
        </w:rPr>
        <w:t>7</w:t>
      </w:r>
      <w:r>
        <w:rPr>
          <w:rFonts w:ascii="Times New Roman" w:hAnsi="Times New Roman" w:cs="Times New Roman" w:hint="eastAsia"/>
          <w:bCs/>
        </w:rPr>
        <w:t>間公司代表，</w:t>
      </w:r>
      <w:r w:rsidR="00DA3522">
        <w:rPr>
          <w:rFonts w:ascii="Times New Roman" w:hAnsi="Times New Roman" w:cs="Times New Roman" w:hint="eastAsia"/>
          <w:bCs/>
        </w:rPr>
        <w:t>透過這次難得的機會</w:t>
      </w:r>
      <w:r>
        <w:rPr>
          <w:rFonts w:ascii="Times New Roman" w:hAnsi="Times New Roman" w:cs="Times New Roman" w:hint="eastAsia"/>
          <w:bCs/>
        </w:rPr>
        <w:t>，</w:t>
      </w:r>
      <w:r w:rsidR="00DA3522">
        <w:rPr>
          <w:rFonts w:ascii="Times New Roman" w:hAnsi="Times New Roman" w:cs="Times New Roman" w:hint="eastAsia"/>
          <w:bCs/>
        </w:rPr>
        <w:t>讓公部門與私部門之間都能充分</w:t>
      </w:r>
      <w:r w:rsidR="00CE285A">
        <w:rPr>
          <w:rFonts w:ascii="Times New Roman" w:hAnsi="Times New Roman" w:cs="Times New Roman" w:hint="eastAsia"/>
          <w:bCs/>
        </w:rPr>
        <w:t>溝通</w:t>
      </w:r>
      <w:r w:rsidR="00DA3522">
        <w:rPr>
          <w:rFonts w:ascii="Times New Roman" w:hAnsi="Times New Roman" w:cs="Times New Roman" w:hint="eastAsia"/>
          <w:bCs/>
        </w:rPr>
        <w:t>交流，一方面能更深入了解彼此的想法與需求，也開啟未來彼此在海洋污染業務上合作的第一步</w:t>
      </w:r>
      <w:r w:rsidR="00D2019D">
        <w:rPr>
          <w:rFonts w:ascii="Times New Roman" w:hAnsi="Times New Roman" w:cs="Times New Roman" w:hint="eastAsia"/>
          <w:bCs/>
        </w:rPr>
        <w:t>。</w:t>
      </w:r>
    </w:p>
    <w:p w14:paraId="63782A74" w14:textId="19D71681" w:rsidR="004E012F" w:rsidRPr="00662471" w:rsidRDefault="00DA3522" w:rsidP="00662471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320" w:lineRule="exact"/>
        <w:ind w:leftChars="0"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最後，由衷</w:t>
      </w:r>
      <w:proofErr w:type="gramStart"/>
      <w:r>
        <w:rPr>
          <w:rFonts w:ascii="Times New Roman" w:hAnsi="Times New Roman" w:cs="Times New Roman" w:hint="eastAsia"/>
          <w:bCs/>
        </w:rPr>
        <w:t>感謝海委會</w:t>
      </w:r>
      <w:proofErr w:type="gramEnd"/>
      <w:r>
        <w:rPr>
          <w:rFonts w:ascii="Times New Roman" w:hAnsi="Times New Roman" w:cs="Times New Roman" w:hint="eastAsia"/>
          <w:bCs/>
        </w:rPr>
        <w:t>、</w:t>
      </w:r>
      <w:proofErr w:type="gramStart"/>
      <w:r>
        <w:rPr>
          <w:rFonts w:ascii="Times New Roman" w:hAnsi="Times New Roman" w:cs="Times New Roman" w:hint="eastAsia"/>
          <w:bCs/>
        </w:rPr>
        <w:t>海保署、</w:t>
      </w:r>
      <w:r w:rsidRPr="00DA3522">
        <w:rPr>
          <w:rStyle w:val="a9"/>
          <w:rFonts w:cs="Arial"/>
          <w:i w:val="0"/>
          <w:iCs w:val="0"/>
          <w:shd w:val="clear" w:color="auto" w:fill="FFFFFF"/>
        </w:rPr>
        <w:t>坤柏</w:t>
      </w:r>
      <w:proofErr w:type="gramEnd"/>
      <w:r w:rsidRPr="00DA3522">
        <w:rPr>
          <w:rStyle w:val="a9"/>
          <w:rFonts w:cs="Arial"/>
          <w:i w:val="0"/>
          <w:iCs w:val="0"/>
          <w:shd w:val="clear" w:color="auto" w:fill="FFFFFF"/>
        </w:rPr>
        <w:t>海洋</w:t>
      </w:r>
      <w:r w:rsidRPr="00DA3522">
        <w:rPr>
          <w:rFonts w:cs="Arial"/>
          <w:shd w:val="clear" w:color="auto" w:fill="FFFFFF"/>
        </w:rPr>
        <w:t>油污處理有限公司</w:t>
      </w:r>
      <w:r>
        <w:rPr>
          <w:rFonts w:cs="Arial" w:hint="eastAsia"/>
          <w:shd w:val="clear" w:color="auto" w:fill="FFFFFF"/>
        </w:rPr>
        <w:t>及法國</w:t>
      </w:r>
      <w:r w:rsidRPr="00510227">
        <w:rPr>
          <w:rFonts w:ascii="Times New Roman" w:hAnsi="Times New Roman" w:cs="Times New Roman" w:hint="eastAsia"/>
          <w:bCs/>
        </w:rPr>
        <w:t>水域意外污染事故調查研究中心</w:t>
      </w:r>
      <w:r>
        <w:rPr>
          <w:rFonts w:ascii="Times New Roman" w:hAnsi="Times New Roman" w:cs="Times New Roman" w:hint="eastAsia"/>
          <w:bCs/>
        </w:rPr>
        <w:t>所有</w:t>
      </w:r>
      <w:r>
        <w:rPr>
          <w:rFonts w:cs="Arial" w:hint="eastAsia"/>
          <w:shd w:val="clear" w:color="auto" w:fill="FFFFFF"/>
        </w:rPr>
        <w:t>團隊</w:t>
      </w:r>
      <w:proofErr w:type="gramStart"/>
      <w:r>
        <w:rPr>
          <w:rFonts w:cs="Arial" w:hint="eastAsia"/>
          <w:shd w:val="clear" w:color="auto" w:fill="FFFFFF"/>
        </w:rPr>
        <w:t>對於整趟研習</w:t>
      </w:r>
      <w:proofErr w:type="gramEnd"/>
      <w:r>
        <w:rPr>
          <w:rFonts w:cs="Arial" w:hint="eastAsia"/>
          <w:shd w:val="clear" w:color="auto" w:fill="FFFFFF"/>
        </w:rPr>
        <w:t>訓練的規劃與安排，從午餐提供各式當地特色美食和周末期間的文化參訪與導</w:t>
      </w:r>
      <w:proofErr w:type="gramStart"/>
      <w:r>
        <w:rPr>
          <w:rFonts w:cs="Arial" w:hint="eastAsia"/>
          <w:shd w:val="clear" w:color="auto" w:fill="FFFFFF"/>
        </w:rPr>
        <w:t>覽</w:t>
      </w:r>
      <w:proofErr w:type="gramEnd"/>
      <w:r>
        <w:rPr>
          <w:rFonts w:cs="Arial" w:hint="eastAsia"/>
          <w:shd w:val="clear" w:color="auto" w:fill="FFFFFF"/>
        </w:rPr>
        <w:t>，都能感受到團隊的用心</w:t>
      </w:r>
      <w:r w:rsidR="00CE285A">
        <w:rPr>
          <w:rFonts w:cs="Arial" w:hint="eastAsia"/>
          <w:shd w:val="clear" w:color="auto" w:fill="FFFFFF"/>
        </w:rPr>
        <w:t>之處，希望這樣的研習訓練能持續推動，以提升我國在海洋污染業務上的專業知能</w:t>
      </w:r>
      <w:r w:rsidR="000C51CE" w:rsidRPr="0034419E">
        <w:rPr>
          <w:rFonts w:ascii="Times New Roman" w:hAnsi="Times New Roman" w:cs="Times New Roman" w:hint="eastAsia"/>
          <w:bCs/>
        </w:rPr>
        <w:t>。</w:t>
      </w:r>
    </w:p>
    <w:sectPr w:rsidR="004E012F" w:rsidRPr="006624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C760D" w14:textId="77777777" w:rsidR="002C6D99" w:rsidRDefault="002C6D99" w:rsidP="003A7326">
      <w:pPr>
        <w:rPr>
          <w:rFonts w:hint="eastAsia"/>
        </w:rPr>
      </w:pPr>
      <w:r>
        <w:separator/>
      </w:r>
    </w:p>
  </w:endnote>
  <w:endnote w:type="continuationSeparator" w:id="0">
    <w:p w14:paraId="0232E5CA" w14:textId="77777777" w:rsidR="002C6D99" w:rsidRDefault="002C6D99" w:rsidP="003A73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(P)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6C37D" w14:textId="77777777" w:rsidR="002C6D99" w:rsidRDefault="002C6D99" w:rsidP="003A7326">
      <w:pPr>
        <w:rPr>
          <w:rFonts w:hint="eastAsia"/>
        </w:rPr>
      </w:pPr>
      <w:r>
        <w:separator/>
      </w:r>
    </w:p>
  </w:footnote>
  <w:footnote w:type="continuationSeparator" w:id="0">
    <w:p w14:paraId="3F71924D" w14:textId="77777777" w:rsidR="002C6D99" w:rsidRDefault="002C6D99" w:rsidP="003A73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96D"/>
    <w:multiLevelType w:val="hybridMultilevel"/>
    <w:tmpl w:val="DBA4C1A0"/>
    <w:lvl w:ilvl="0" w:tplc="63AAE45A">
      <w:start w:val="1"/>
      <w:numFmt w:val="decimal"/>
      <w:lvlText w:val="(%1)"/>
      <w:lvlJc w:val="left"/>
      <w:pPr>
        <w:ind w:left="906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6A21E59"/>
    <w:multiLevelType w:val="hybridMultilevel"/>
    <w:tmpl w:val="81EEF850"/>
    <w:lvl w:ilvl="0" w:tplc="BE3A3CEE">
      <w:start w:val="1"/>
      <w:numFmt w:val="taiwaneseCountingThousand"/>
      <w:lvlText w:val="（%1）"/>
      <w:lvlJc w:val="left"/>
      <w:pPr>
        <w:ind w:left="1830" w:hanging="87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034135"/>
    <w:multiLevelType w:val="hybridMultilevel"/>
    <w:tmpl w:val="7BD2AE4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013503D"/>
    <w:multiLevelType w:val="hybridMultilevel"/>
    <w:tmpl w:val="B0DC8DF8"/>
    <w:lvl w:ilvl="0" w:tplc="FFFFFFFF">
      <w:start w:val="1"/>
      <w:numFmt w:val="upperLetter"/>
      <w:lvlText w:val="%1."/>
      <w:lvlJc w:val="left"/>
      <w:pPr>
        <w:ind w:left="2400" w:hanging="48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19242D64"/>
    <w:multiLevelType w:val="hybridMultilevel"/>
    <w:tmpl w:val="9B7AFC80"/>
    <w:lvl w:ilvl="0" w:tplc="63AAE45A">
      <w:start w:val="1"/>
      <w:numFmt w:val="decimal"/>
      <w:lvlText w:val="(%1)"/>
      <w:lvlJc w:val="left"/>
      <w:pPr>
        <w:ind w:left="960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F8651F"/>
    <w:multiLevelType w:val="hybridMultilevel"/>
    <w:tmpl w:val="43047B52"/>
    <w:lvl w:ilvl="0" w:tplc="63AAE45A">
      <w:start w:val="1"/>
      <w:numFmt w:val="decimal"/>
      <w:lvlText w:val="(%1)"/>
      <w:lvlJc w:val="left"/>
      <w:pPr>
        <w:ind w:left="2280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ideographTraditional"/>
      <w:lvlText w:val="%2、"/>
      <w:lvlJc w:val="left"/>
      <w:pPr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208E0D6E"/>
    <w:multiLevelType w:val="hybridMultilevel"/>
    <w:tmpl w:val="43047B52"/>
    <w:lvl w:ilvl="0" w:tplc="FFFFFFFF">
      <w:start w:val="1"/>
      <w:numFmt w:val="decimal"/>
      <w:lvlText w:val="(%1)"/>
      <w:lvlJc w:val="left"/>
      <w:pPr>
        <w:ind w:left="2280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ideographTraditional"/>
      <w:lvlText w:val="%2、"/>
      <w:lvlJc w:val="left"/>
      <w:pPr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2B2A2A58"/>
    <w:multiLevelType w:val="hybridMultilevel"/>
    <w:tmpl w:val="3652792E"/>
    <w:lvl w:ilvl="0" w:tplc="0409000F">
      <w:start w:val="1"/>
      <w:numFmt w:val="decimal"/>
      <w:lvlText w:val="%1."/>
      <w:lvlJc w:val="left"/>
      <w:pPr>
        <w:ind w:left="2280" w:hanging="480"/>
      </w:p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>
    <w:nsid w:val="3E3D6E49"/>
    <w:multiLevelType w:val="hybridMultilevel"/>
    <w:tmpl w:val="4A0E651C"/>
    <w:lvl w:ilvl="0" w:tplc="63AAE45A">
      <w:start w:val="1"/>
      <w:numFmt w:val="decimal"/>
      <w:lvlText w:val="(%1)"/>
      <w:lvlJc w:val="left"/>
      <w:pPr>
        <w:ind w:left="906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50C31EB4"/>
    <w:multiLevelType w:val="hybridMultilevel"/>
    <w:tmpl w:val="43047B52"/>
    <w:lvl w:ilvl="0" w:tplc="FFFFFFFF">
      <w:start w:val="1"/>
      <w:numFmt w:val="decimal"/>
      <w:lvlText w:val="(%1)"/>
      <w:lvlJc w:val="left"/>
      <w:pPr>
        <w:ind w:left="2280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ideographTraditional"/>
      <w:lvlText w:val="%2、"/>
      <w:lvlJc w:val="left"/>
      <w:pPr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>
    <w:nsid w:val="60543A4A"/>
    <w:multiLevelType w:val="hybridMultilevel"/>
    <w:tmpl w:val="43047B52"/>
    <w:lvl w:ilvl="0" w:tplc="FFFFFFFF">
      <w:start w:val="1"/>
      <w:numFmt w:val="decimal"/>
      <w:lvlText w:val="(%1)"/>
      <w:lvlJc w:val="left"/>
      <w:pPr>
        <w:ind w:left="2280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ideographTraditional"/>
      <w:lvlText w:val="%2、"/>
      <w:lvlJc w:val="left"/>
      <w:pPr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>
    <w:nsid w:val="66290937"/>
    <w:multiLevelType w:val="hybridMultilevel"/>
    <w:tmpl w:val="8E3282E6"/>
    <w:lvl w:ilvl="0" w:tplc="63AAE45A">
      <w:start w:val="1"/>
      <w:numFmt w:val="decimal"/>
      <w:lvlText w:val="(%1)"/>
      <w:lvlJc w:val="left"/>
      <w:pPr>
        <w:ind w:left="2400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716E6217"/>
    <w:multiLevelType w:val="hybridMultilevel"/>
    <w:tmpl w:val="74F8EB6C"/>
    <w:lvl w:ilvl="0" w:tplc="FFFFFFFF">
      <w:start w:val="1"/>
      <w:numFmt w:val="decimal"/>
      <w:lvlText w:val="(%1)"/>
      <w:lvlJc w:val="left"/>
      <w:pPr>
        <w:ind w:left="2280" w:hanging="480"/>
      </w:pPr>
      <w:rPr>
        <w:rFonts w:ascii="Times New Roman" w:eastAsia="華康仿宋體W6(P)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1">
      <w:start w:val="1"/>
      <w:numFmt w:val="upperLetter"/>
      <w:lvlText w:val="%2."/>
      <w:lvlJc w:val="left"/>
      <w:pPr>
        <w:ind w:left="2760" w:hanging="48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>
    <w:nsid w:val="72D773FE"/>
    <w:multiLevelType w:val="hybridMultilevel"/>
    <w:tmpl w:val="B0DC8DF8"/>
    <w:lvl w:ilvl="0" w:tplc="04090011">
      <w:start w:val="1"/>
      <w:numFmt w:val="upperLetter"/>
      <w:lvlText w:val="%1."/>
      <w:lvlJc w:val="left"/>
      <w:pPr>
        <w:ind w:left="2400" w:hanging="48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>
    <w:nsid w:val="7FFC3D3A"/>
    <w:multiLevelType w:val="hybridMultilevel"/>
    <w:tmpl w:val="4886BD8A"/>
    <w:lvl w:ilvl="0" w:tplc="FFFFFFFF">
      <w:start w:val="1"/>
      <w:numFmt w:val="upperLetter"/>
      <w:lvlText w:val="%1."/>
      <w:lvlJc w:val="left"/>
      <w:pPr>
        <w:ind w:left="2400" w:hanging="48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1">
      <w:start w:val="1"/>
      <w:numFmt w:val="upperLetter"/>
      <w:lvlText w:val="%2.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3D"/>
    <w:rsid w:val="00041B11"/>
    <w:rsid w:val="000475F2"/>
    <w:rsid w:val="00055F36"/>
    <w:rsid w:val="00091A3C"/>
    <w:rsid w:val="00096B50"/>
    <w:rsid w:val="000A48AB"/>
    <w:rsid w:val="000A6C7A"/>
    <w:rsid w:val="000B0C52"/>
    <w:rsid w:val="000C4314"/>
    <w:rsid w:val="000C51CE"/>
    <w:rsid w:val="000E080C"/>
    <w:rsid w:val="00103319"/>
    <w:rsid w:val="001043E4"/>
    <w:rsid w:val="001069E8"/>
    <w:rsid w:val="00111E18"/>
    <w:rsid w:val="0012644A"/>
    <w:rsid w:val="00127351"/>
    <w:rsid w:val="00147BBB"/>
    <w:rsid w:val="001644BB"/>
    <w:rsid w:val="00171E12"/>
    <w:rsid w:val="00176D75"/>
    <w:rsid w:val="001A4BED"/>
    <w:rsid w:val="001C0406"/>
    <w:rsid w:val="001C54F9"/>
    <w:rsid w:val="001C6BEF"/>
    <w:rsid w:val="001D2377"/>
    <w:rsid w:val="001E1A8A"/>
    <w:rsid w:val="001F18CF"/>
    <w:rsid w:val="001F2084"/>
    <w:rsid w:val="0020532A"/>
    <w:rsid w:val="00212262"/>
    <w:rsid w:val="0021330F"/>
    <w:rsid w:val="002139F1"/>
    <w:rsid w:val="002141BB"/>
    <w:rsid w:val="00221D1E"/>
    <w:rsid w:val="00223D35"/>
    <w:rsid w:val="00235D29"/>
    <w:rsid w:val="0024471A"/>
    <w:rsid w:val="002460C7"/>
    <w:rsid w:val="002471AA"/>
    <w:rsid w:val="00250092"/>
    <w:rsid w:val="00265FB3"/>
    <w:rsid w:val="00277010"/>
    <w:rsid w:val="002C4AE7"/>
    <w:rsid w:val="002C4AEF"/>
    <w:rsid w:val="002C50F3"/>
    <w:rsid w:val="002C6D99"/>
    <w:rsid w:val="002C7666"/>
    <w:rsid w:val="002D033D"/>
    <w:rsid w:val="002D1BC5"/>
    <w:rsid w:val="002D4569"/>
    <w:rsid w:val="002E0C3B"/>
    <w:rsid w:val="002E73D8"/>
    <w:rsid w:val="002E7E0F"/>
    <w:rsid w:val="002F0C58"/>
    <w:rsid w:val="002F38A9"/>
    <w:rsid w:val="002F594A"/>
    <w:rsid w:val="0030294B"/>
    <w:rsid w:val="00306B38"/>
    <w:rsid w:val="00341ACD"/>
    <w:rsid w:val="0034419E"/>
    <w:rsid w:val="00352287"/>
    <w:rsid w:val="0038138F"/>
    <w:rsid w:val="00385116"/>
    <w:rsid w:val="0039245A"/>
    <w:rsid w:val="00394840"/>
    <w:rsid w:val="00396389"/>
    <w:rsid w:val="003A7326"/>
    <w:rsid w:val="003B0556"/>
    <w:rsid w:val="003C1784"/>
    <w:rsid w:val="003F1482"/>
    <w:rsid w:val="003F5E98"/>
    <w:rsid w:val="004207C6"/>
    <w:rsid w:val="00443DED"/>
    <w:rsid w:val="0044568E"/>
    <w:rsid w:val="004724A7"/>
    <w:rsid w:val="00474834"/>
    <w:rsid w:val="00492D48"/>
    <w:rsid w:val="004A3CC9"/>
    <w:rsid w:val="004C139C"/>
    <w:rsid w:val="004C71BF"/>
    <w:rsid w:val="004C7888"/>
    <w:rsid w:val="004E012F"/>
    <w:rsid w:val="004E1A5F"/>
    <w:rsid w:val="004E2586"/>
    <w:rsid w:val="004F6BD1"/>
    <w:rsid w:val="00510227"/>
    <w:rsid w:val="00522EA7"/>
    <w:rsid w:val="00523A07"/>
    <w:rsid w:val="00535BA7"/>
    <w:rsid w:val="00540D25"/>
    <w:rsid w:val="00540F83"/>
    <w:rsid w:val="0054136B"/>
    <w:rsid w:val="00543575"/>
    <w:rsid w:val="00544FC1"/>
    <w:rsid w:val="00547F93"/>
    <w:rsid w:val="00553F5C"/>
    <w:rsid w:val="00561465"/>
    <w:rsid w:val="00590035"/>
    <w:rsid w:val="00594BA0"/>
    <w:rsid w:val="00596AB8"/>
    <w:rsid w:val="005A0430"/>
    <w:rsid w:val="005A3F5F"/>
    <w:rsid w:val="005A7486"/>
    <w:rsid w:val="005B3DC8"/>
    <w:rsid w:val="005B462F"/>
    <w:rsid w:val="005C2B61"/>
    <w:rsid w:val="005C5C22"/>
    <w:rsid w:val="006124EB"/>
    <w:rsid w:val="006243D1"/>
    <w:rsid w:val="0063124E"/>
    <w:rsid w:val="00643ECB"/>
    <w:rsid w:val="00662471"/>
    <w:rsid w:val="00665B2A"/>
    <w:rsid w:val="00687643"/>
    <w:rsid w:val="006A7FE9"/>
    <w:rsid w:val="006C422E"/>
    <w:rsid w:val="006D6371"/>
    <w:rsid w:val="006E0242"/>
    <w:rsid w:val="00705B62"/>
    <w:rsid w:val="0071069B"/>
    <w:rsid w:val="00740392"/>
    <w:rsid w:val="00742A22"/>
    <w:rsid w:val="007554C9"/>
    <w:rsid w:val="007C0941"/>
    <w:rsid w:val="007D3419"/>
    <w:rsid w:val="00811AD4"/>
    <w:rsid w:val="008305B7"/>
    <w:rsid w:val="0083079E"/>
    <w:rsid w:val="0083178E"/>
    <w:rsid w:val="00853D2F"/>
    <w:rsid w:val="00862794"/>
    <w:rsid w:val="008651FC"/>
    <w:rsid w:val="00873ECD"/>
    <w:rsid w:val="00886021"/>
    <w:rsid w:val="00887DFE"/>
    <w:rsid w:val="008A55A5"/>
    <w:rsid w:val="008A6BFE"/>
    <w:rsid w:val="008B0AB3"/>
    <w:rsid w:val="008B565E"/>
    <w:rsid w:val="008D726E"/>
    <w:rsid w:val="008E23A7"/>
    <w:rsid w:val="008F648B"/>
    <w:rsid w:val="00904DC3"/>
    <w:rsid w:val="00905217"/>
    <w:rsid w:val="00910B3C"/>
    <w:rsid w:val="0091104F"/>
    <w:rsid w:val="0092111C"/>
    <w:rsid w:val="009240C5"/>
    <w:rsid w:val="0092769A"/>
    <w:rsid w:val="00932692"/>
    <w:rsid w:val="009369C0"/>
    <w:rsid w:val="00937FBA"/>
    <w:rsid w:val="009428C6"/>
    <w:rsid w:val="009509D0"/>
    <w:rsid w:val="009665E4"/>
    <w:rsid w:val="00993A21"/>
    <w:rsid w:val="009B67B9"/>
    <w:rsid w:val="009C05BA"/>
    <w:rsid w:val="009C740E"/>
    <w:rsid w:val="009D4AE3"/>
    <w:rsid w:val="00A1091C"/>
    <w:rsid w:val="00A10A08"/>
    <w:rsid w:val="00A1474F"/>
    <w:rsid w:val="00A30123"/>
    <w:rsid w:val="00A45BD6"/>
    <w:rsid w:val="00A64685"/>
    <w:rsid w:val="00AB6817"/>
    <w:rsid w:val="00AE30A2"/>
    <w:rsid w:val="00B06A9B"/>
    <w:rsid w:val="00B101DD"/>
    <w:rsid w:val="00B42068"/>
    <w:rsid w:val="00B55F1F"/>
    <w:rsid w:val="00B92E80"/>
    <w:rsid w:val="00B9724A"/>
    <w:rsid w:val="00BA1B63"/>
    <w:rsid w:val="00BB70EA"/>
    <w:rsid w:val="00BC39B6"/>
    <w:rsid w:val="00BC738B"/>
    <w:rsid w:val="00BE483B"/>
    <w:rsid w:val="00BF3EBF"/>
    <w:rsid w:val="00C01D99"/>
    <w:rsid w:val="00C14B5C"/>
    <w:rsid w:val="00C305B7"/>
    <w:rsid w:val="00C42A1C"/>
    <w:rsid w:val="00C51BF0"/>
    <w:rsid w:val="00C57849"/>
    <w:rsid w:val="00C64EC4"/>
    <w:rsid w:val="00C84228"/>
    <w:rsid w:val="00CA51D4"/>
    <w:rsid w:val="00CB2A12"/>
    <w:rsid w:val="00CB653E"/>
    <w:rsid w:val="00CC3ADB"/>
    <w:rsid w:val="00CD3758"/>
    <w:rsid w:val="00CE02C4"/>
    <w:rsid w:val="00CE285A"/>
    <w:rsid w:val="00D0623D"/>
    <w:rsid w:val="00D2019D"/>
    <w:rsid w:val="00D21CCA"/>
    <w:rsid w:val="00D22786"/>
    <w:rsid w:val="00D3798A"/>
    <w:rsid w:val="00D41D48"/>
    <w:rsid w:val="00D70A5A"/>
    <w:rsid w:val="00D71F03"/>
    <w:rsid w:val="00D755E8"/>
    <w:rsid w:val="00D766EA"/>
    <w:rsid w:val="00D8198F"/>
    <w:rsid w:val="00D85540"/>
    <w:rsid w:val="00D91EEA"/>
    <w:rsid w:val="00DA3522"/>
    <w:rsid w:val="00DB1320"/>
    <w:rsid w:val="00DD116D"/>
    <w:rsid w:val="00DD13EA"/>
    <w:rsid w:val="00DD22E1"/>
    <w:rsid w:val="00DD319D"/>
    <w:rsid w:val="00DE16D0"/>
    <w:rsid w:val="00DE5BFD"/>
    <w:rsid w:val="00DF1B36"/>
    <w:rsid w:val="00DF7433"/>
    <w:rsid w:val="00E14404"/>
    <w:rsid w:val="00E160B9"/>
    <w:rsid w:val="00E17574"/>
    <w:rsid w:val="00E36839"/>
    <w:rsid w:val="00E4683D"/>
    <w:rsid w:val="00E6676D"/>
    <w:rsid w:val="00EA4B40"/>
    <w:rsid w:val="00EB1F79"/>
    <w:rsid w:val="00EC1700"/>
    <w:rsid w:val="00EC59AB"/>
    <w:rsid w:val="00ED4005"/>
    <w:rsid w:val="00ED6C34"/>
    <w:rsid w:val="00EE5B6C"/>
    <w:rsid w:val="00EF2508"/>
    <w:rsid w:val="00F01DC8"/>
    <w:rsid w:val="00F12732"/>
    <w:rsid w:val="00F220C8"/>
    <w:rsid w:val="00F4350A"/>
    <w:rsid w:val="00F51E3E"/>
    <w:rsid w:val="00F54A1B"/>
    <w:rsid w:val="00F93C74"/>
    <w:rsid w:val="00FB1A3A"/>
    <w:rsid w:val="00FB7BAA"/>
    <w:rsid w:val="00FD1FDA"/>
    <w:rsid w:val="00FD71FE"/>
    <w:rsid w:val="00FE3422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88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41"/>
    <w:pPr>
      <w:widowControl w:val="0"/>
    </w:pPr>
    <w:rPr>
      <w:rFonts w:ascii="Helvetica Neue" w:eastAsia="新細明體" w:hAnsi="Helvetica Neue" w:cs="Helvetica Neue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683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E4683D"/>
    <w:rPr>
      <w:rFonts w:ascii="新細明體" w:eastAsia="新細明體" w:hAnsi="新細明體" w:cs="新細明體"/>
      <w:kern w:val="0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3A73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A7326"/>
    <w:rPr>
      <w:rFonts w:ascii="Helvetica Neue" w:eastAsia="新細明體" w:hAnsi="Helvetica Neue" w:cs="Helvetica Neue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3A73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A7326"/>
    <w:rPr>
      <w:rFonts w:ascii="Helvetica Neue" w:eastAsia="新細明體" w:hAnsi="Helvetica Neue" w:cs="Helvetica Neue"/>
      <w:sz w:val="20"/>
      <w:szCs w:val="20"/>
      <w:lang w:bidi="ar-SA"/>
    </w:rPr>
  </w:style>
  <w:style w:type="character" w:styleId="a9">
    <w:name w:val="Emphasis"/>
    <w:basedOn w:val="a0"/>
    <w:uiPriority w:val="20"/>
    <w:qFormat/>
    <w:rsid w:val="00553F5C"/>
    <w:rPr>
      <w:i/>
      <w:iCs/>
    </w:rPr>
  </w:style>
  <w:style w:type="table" w:styleId="aa">
    <w:name w:val="Table Grid"/>
    <w:aliases w:val="SGS Table Basic 1"/>
    <w:basedOn w:val="a1"/>
    <w:uiPriority w:val="39"/>
    <w:rsid w:val="0012644A"/>
    <w:rPr>
      <w:rFonts w:ascii="Calibri" w:eastAsia="新細明體" w:hAnsi="Calibri" w:cs="Times New Roman"/>
      <w:kern w:val="0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41"/>
    <w:pPr>
      <w:widowControl w:val="0"/>
    </w:pPr>
    <w:rPr>
      <w:rFonts w:ascii="Helvetica Neue" w:eastAsia="新細明體" w:hAnsi="Helvetica Neue" w:cs="Helvetica Neue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683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E4683D"/>
    <w:rPr>
      <w:rFonts w:ascii="新細明體" w:eastAsia="新細明體" w:hAnsi="新細明體" w:cs="新細明體"/>
      <w:kern w:val="0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3A73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A7326"/>
    <w:rPr>
      <w:rFonts w:ascii="Helvetica Neue" w:eastAsia="新細明體" w:hAnsi="Helvetica Neue" w:cs="Helvetica Neue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3A73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A7326"/>
    <w:rPr>
      <w:rFonts w:ascii="Helvetica Neue" w:eastAsia="新細明體" w:hAnsi="Helvetica Neue" w:cs="Helvetica Neue"/>
      <w:sz w:val="20"/>
      <w:szCs w:val="20"/>
      <w:lang w:bidi="ar-SA"/>
    </w:rPr>
  </w:style>
  <w:style w:type="character" w:styleId="a9">
    <w:name w:val="Emphasis"/>
    <w:basedOn w:val="a0"/>
    <w:uiPriority w:val="20"/>
    <w:qFormat/>
    <w:rsid w:val="00553F5C"/>
    <w:rPr>
      <w:i/>
      <w:iCs/>
    </w:rPr>
  </w:style>
  <w:style w:type="table" w:styleId="aa">
    <w:name w:val="Table Grid"/>
    <w:aliases w:val="SGS Table Basic 1"/>
    <w:basedOn w:val="a1"/>
    <w:uiPriority w:val="39"/>
    <w:rsid w:val="0012644A"/>
    <w:rPr>
      <w:rFonts w:ascii="Calibri" w:eastAsia="新細明體" w:hAnsi="Calibri" w:cs="Times New Roman"/>
      <w:kern w:val="0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F13B-ABAD-468A-B2B1-B44485B8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雨潔 坤柏</dc:creator>
  <cp:lastModifiedBy>朱秀珍</cp:lastModifiedBy>
  <cp:revision>4</cp:revision>
  <dcterms:created xsi:type="dcterms:W3CDTF">2023-07-28T08:21:00Z</dcterms:created>
  <dcterms:modified xsi:type="dcterms:W3CDTF">2023-07-28T08:47:00Z</dcterms:modified>
</cp:coreProperties>
</file>